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righ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5 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1"/>
          <w:szCs w:val="21"/>
          <w:u w:val="none"/>
          <w:shd w:fill="FFFFFF" w:val="clear"/>
          <w:lang w:val="pl-PL" w:eastAsia="zh-CN" w:bidi="ar-SA"/>
        </w:rPr>
        <w:t>Postępowanie nr 33/NA/2024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>Opracowanie ekspertyz technicznych dla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 xml:space="preserve"> budynków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 xml:space="preserve"> położonych w Bydgoszczy przy                    ul. Sienkiewicza 14 oraz Fordońska 20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- przedmiot i zakres ekspertyzy (budowlanej)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 (ekspertyzy)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90</Words>
  <Characters>1177</Characters>
  <CharactersWithSpaces>1365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2024-06-12T12:21:18Z</cp:lastPrinted>
  <dcterms:modified xsi:type="dcterms:W3CDTF">2024-06-12T12:21:33Z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