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eastAsia="Arial Black" w:cs="Calibri"/>
          <w:b/>
          <w:bCs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Calibri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21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sz w:val="24"/>
          <w:szCs w:val="24"/>
          <w:highlight w:val="white"/>
          <w:u w:val="none"/>
          <w:lang w:eastAsia="pl-PL" w:bidi="ar-SA"/>
        </w:rPr>
        <w:t xml:space="preserve"> projektowo-kosztorysowej na wydzielenie łazienki w obrębie zamieszkałego gminnego lokalu mieszkalnego nr 7 w budynku gminnym przy ul. Jana III Sobieskiego 9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sz w:val="24"/>
          <w:szCs w:val="24"/>
          <w:highlight w:val="white"/>
          <w:u w:val="none"/>
          <w:lang w:eastAsia="pl-PL" w:bidi="ar-SA"/>
        </w:rPr>
        <w:t>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zh-CN" w:bidi="ar-SA"/>
        </w:rPr>
        <w:t>* cena brutto oferty:   __________________________________  zł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LibreOffice/7.5.4.2$Windows_X86_64 LibreOffice_project/36ccfdc35048b057fd9854c757a8b67ec53977b6</Application>
  <AppVersion>15.0000</AppVersion>
  <Pages>2</Pages>
  <Words>374</Words>
  <Characters>3315</Characters>
  <CharactersWithSpaces>3828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2024-04-25T14:10:28Z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