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– wzór formularza ofertowego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 Black" w:ascii="Calibri" w:hAnsi="Calibri"/>
                <w:b/>
                <w:bCs/>
                <w:sz w:val="20"/>
                <w:szCs w:val="20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/>
          <w:iCs/>
          <w:sz w:val="20"/>
          <w:szCs w:val="20"/>
        </w:rPr>
        <w:t>(pełna nazwa, adres siedziby, numer NIP, numer KRS/CEDIG):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.………………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Gwka"/>
        <w:keepNext w:val="true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 xml:space="preserve"> 14/NM/2024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prowadzonego pod nazwą: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ykonanie inwentaryzacji architektoniczno-budowlanej dla budynków stanowiących własność  W</w:t>
      </w:r>
      <w:r>
        <w:rPr>
          <w:rStyle w:val="Domylnaczcionkaakapitu"/>
          <w:rFonts w:eastAsia="Times New Roman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spólnot Mieszkaniowych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strike w:val="false"/>
          <w:dstrike w:val="false"/>
          <w:color w:val="19197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- 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niniejszym składam swoją ofertę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  <w:t xml:space="preserve"> w części dotyczącej:</w:t>
      </w:r>
    </w:p>
    <w:p>
      <w:pPr>
        <w:pStyle w:val="Normal"/>
        <w:jc w:val="center"/>
        <w:rPr>
          <w:rFonts w:ascii="Calibri" w:hAnsi="Calibri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1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8"/>
        <w:gridCol w:w="1812"/>
        <w:gridCol w:w="912"/>
        <w:gridCol w:w="1817"/>
        <w:gridCol w:w="1788"/>
        <w:gridCol w:w="813"/>
        <w:gridCol w:w="1434"/>
        <w:gridCol w:w="1509"/>
      </w:tblGrid>
      <w:tr>
        <w:trPr/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Kościuszki 2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20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  <w:t>2) jeżeli wykonawca nie jest płatnikiem podatku VAT, wówczas zobowiązany jest dokonać stosownego oznaczenia w ust. 6 formularza oferty.</w:t>
      </w:r>
    </w:p>
    <w:p>
      <w:pPr>
        <w:pStyle w:val="Normal"/>
        <w:bidi w:val="0"/>
        <w:spacing w:before="0" w:after="0"/>
        <w:jc w:val="both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jc w:val="center"/>
        <w:rPr>
          <w:rFonts w:ascii="Calibri" w:hAnsi="Calibri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2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283" w:right="0" w:hanging="0"/>
        <w:jc w:val="left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18"/>
        <w:gridCol w:w="1682"/>
        <w:gridCol w:w="912"/>
        <w:gridCol w:w="1817"/>
        <w:gridCol w:w="1788"/>
        <w:gridCol w:w="813"/>
        <w:gridCol w:w="1434"/>
        <w:gridCol w:w="1509"/>
      </w:tblGrid>
      <w:tr>
        <w:trPr/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Powstańców Wielkopolskich 30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23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9064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RAZEM CENA BRUTTO OFERTY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>2) jeżeli wykonawca nie jest płatnikiem podatku VAT, wówczas zobowiązany jest dokonać stosownego oznaczenia w ust.6 formularza oferty.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jc w:val="center"/>
        <w:rPr>
          <w:rFonts w:ascii="Calibri" w:hAnsi="Calibri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3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283" w:right="0" w:hanging="0"/>
        <w:jc w:val="left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18"/>
        <w:gridCol w:w="1682"/>
        <w:gridCol w:w="912"/>
        <w:gridCol w:w="1817"/>
        <w:gridCol w:w="1788"/>
        <w:gridCol w:w="813"/>
        <w:gridCol w:w="1434"/>
        <w:gridCol w:w="1509"/>
      </w:tblGrid>
      <w:tr>
        <w:trPr/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Licznerskiego 6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21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9064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RAZEM CENA BRUTTO OFERTY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>2) jeżeli wykonawca nie jest płatnikiem podatku VAT, wówczas zobowiązany jest dokonać stosownego oznaczenia w ust.6 formularza oferty.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jc w:val="center"/>
        <w:rPr>
          <w:rFonts w:ascii="Calibri" w:hAnsi="Calibri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4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283" w:right="0" w:hanging="0"/>
        <w:jc w:val="left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18"/>
        <w:gridCol w:w="1682"/>
        <w:gridCol w:w="912"/>
        <w:gridCol w:w="1817"/>
        <w:gridCol w:w="1788"/>
        <w:gridCol w:w="813"/>
        <w:gridCol w:w="1434"/>
        <w:gridCol w:w="1509"/>
      </w:tblGrid>
      <w:tr>
        <w:trPr/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6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Dworcowa 7 oficyna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9064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RAZEM CENA BRUTTO OFERTY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>2) jeżeli wykonawca nie jest płatnikiem podatku VAT, wówczas zobowiązany jest dokonać stosownego oznaczenia w ust.6 formularza oferty.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…………………..………...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20"/>
          <w:szCs w:val="20"/>
          <w:u w:val="none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opisać szczegółowo zakres prac jakie wykonawca zamierza zlecić podwykonawcy, wskazać tego podwykonawcę,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………………………………….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yrnienie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Page Number"/>
    <w:basedOn w:val="Domylnaczcionkaakapitu1"/>
    <w:rPr/>
  </w:style>
  <w:style w:type="character" w:styleId="Odwoaniedokomentarza1">
    <w:name w:val="Odwołanie do komentarza1"/>
    <w:basedOn w:val="WW-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</TotalTime>
  <Application>LibreOffice/7.5.4.2$Windows_X86_64 LibreOffice_project/36ccfdc35048b057fd9854c757a8b67ec53977b6</Application>
  <AppVersion>15.0000</AppVersion>
  <Pages>4</Pages>
  <Words>927</Words>
  <Characters>6299</Characters>
  <CharactersWithSpaces>7219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2022-05-20T09:32:03Z</cp:lastPrinted>
  <dcterms:modified xsi:type="dcterms:W3CDTF">2024-04-17T11:44:52Z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