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 82/ NM/ 202</w:t>
      </w:r>
      <w:r>
        <w:rPr>
          <w:rStyle w:val="Domylnaczcionkaakapitu"/>
          <w:rFonts w:eastAsia="Tahoma" w:cs="Calibri" w:ascii="Arial Black" w:hAnsi="Arial Black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lang w:val="pl-PL" w:eastAsia="pl-PL" w:bidi="ar-SA"/>
        </w:rPr>
        <w:t>3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2"/>
          <w:szCs w:val="22"/>
          <w:highlight w:val="white"/>
          <w:u w:val="none"/>
          <w:shd w:fill="auto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Palatino Linotype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0"/>
          <w:kern w:val="2"/>
          <w:sz w:val="24"/>
          <w:szCs w:val="24"/>
          <w:highlight w:val="white"/>
          <w:u w:val="none"/>
          <w:shd w:fill="FFFFFF" w:val="clear"/>
          <w:lang w:val="pl-PL" w:eastAsia="zh-CN" w:bidi="ar-SA"/>
        </w:rPr>
        <w:t xml:space="preserve">ykonanie operatów szacunkowych wraz ze świadectwami charakterystyki energetycznej  dla lokali znajdujących się w zarządzie Administracji Domów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80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1919CA"/>
        </w:rPr>
      </w:pPr>
      <w:r>
        <w:rPr>
          <w:color w:val="1919CA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92"/>
        <w:gridCol w:w="5379"/>
        <w:gridCol w:w="2867"/>
      </w:tblGrid>
      <w:tr>
        <w:trPr/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</w:t>
            </w:r>
          </w:p>
        </w:tc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Adres lokalu – zakres zamówienia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BRUTTO  OFERTY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(zł)</w:t>
            </w:r>
          </w:p>
        </w:tc>
      </w:tr>
      <w:tr>
        <w:trPr/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1</w:t>
            </w:r>
          </w:p>
        </w:tc>
        <w:tc>
          <w:tcPr>
            <w:tcW w:w="5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Lokal mieszkalny przy ul. Gołębia 77/2 – sporządzenie operatu szacunkowego oraz świadectwa charakterystyki energetycznej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2</w:t>
            </w:r>
          </w:p>
        </w:tc>
        <w:tc>
          <w:tcPr>
            <w:tcW w:w="5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Lokal mieszkalny przy ul. Pomorska 67/8 – sporządzenie operatu szacunkowego oraz świadectwa charakterystyki energetycznej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Zadanie 3</w:t>
            </w:r>
          </w:p>
        </w:tc>
        <w:tc>
          <w:tcPr>
            <w:tcW w:w="5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Lokal mieszkalny przy ul. Grunwaldzka 90/3 – sporządzenie operatu szacunkowego oraz świadectwa charakterystyki energetycznej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Zadanie 4</w:t>
            </w:r>
          </w:p>
        </w:tc>
        <w:tc>
          <w:tcPr>
            <w:tcW w:w="5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Lokal mieszkalny przy ul. Chocimska 11 – sporządzenie operatu szacunkowego oraz świadectwa charakterystyki energetycznej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13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before="17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Zadanie 5</w:t>
            </w:r>
          </w:p>
        </w:tc>
        <w:tc>
          <w:tcPr>
            <w:tcW w:w="5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 w:before="113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Lokal mieszkalny przy ul. Dąbrowskiego 33 – sporządzenie operatu szacunkowego oraz świadectwa charakterystyki energetycznej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b w:val="false"/>
          <w:bCs w:val="false"/>
          <w:color w:val="1919CA"/>
          <w:sz w:val="20"/>
          <w:szCs w:val="20"/>
        </w:rPr>
      </w:pPr>
      <w:r>
        <w:rPr>
          <w:rFonts w:ascii="Calibri" w:hAnsi="Calibri"/>
          <w:b w:val="false"/>
          <w:bCs w:val="false"/>
          <w:color w:val="1919CA"/>
          <w:sz w:val="20"/>
          <w:szCs w:val="20"/>
        </w:rPr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color w:val="1919CA"/>
        </w:rPr>
      </w:pPr>
      <w:r>
        <w:rPr>
          <w:color w:val="1919C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z w:val="21"/>
          <w:szCs w:val="21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oferowana cena obejmuje wszystkie koszty związane z realizacją zamówienia, ma charakter stały </w:t>
      </w:r>
      <w:r>
        <w:rPr>
          <w:rFonts w:cs="Tahoma" w:ascii="Calibri" w:hAnsi="Calibri"/>
          <w:b w:val="false"/>
          <w:bCs w:val="false"/>
          <w:color w:val="000000"/>
          <w:sz w:val="21"/>
          <w:szCs w:val="21"/>
          <w:shd w:fill="auto" w:val="clear"/>
        </w:rPr>
        <w:t>(niezmienny)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w całym okresie obowiązywania umowy i nie będzie podlegała żadnym waloryzacjom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289</TotalTime>
  <Application>LibreOffice/7.5.4.2$Windows_X86_64 LibreOffice_project/36ccfdc35048b057fd9854c757a8b67ec53977b6</Application>
  <AppVersion>15.0000</AppVersion>
  <Pages>3</Pages>
  <Words>427</Words>
  <Characters>3407</Characters>
  <CharactersWithSpaces>3957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dcterms:modified xsi:type="dcterms:W3CDTF">2023-09-18T07:45:06Z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