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 w:val="false"/>
          <w:bCs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pl-PL" w:bidi="ar-SA"/>
        </w:rPr>
        <w:t>Dotyczy postępowania nr  74/NA/202</w:t>
      </w:r>
      <w:r>
        <w:rPr>
          <w:rStyle w:val="Domylnaczcionkaakapitu"/>
          <w:rFonts w:eastAsia="Tahoma" w:cs="Calibri" w:ascii="Calibri" w:hAnsi="Calibri"/>
          <w:b w:val="false"/>
          <w:bCs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pl-PL" w:bidi="ar-SA"/>
        </w:rPr>
        <w:t>3</w:t>
      </w:r>
    </w:p>
    <w:p>
      <w:pPr>
        <w:pStyle w:val="Normal"/>
        <w:spacing w:lineRule="auto" w:line="276" w:before="57" w:after="0"/>
        <w:ind w:left="0" w:right="0" w:hanging="0"/>
        <w:jc w:val="center"/>
        <w:rPr>
          <w:rFonts w:ascii="Calibri" w:hAnsi="Calibri"/>
          <w:b w:val="false"/>
          <w:b w:val="false"/>
          <w:bCs w:val="false"/>
          <w:sz w:val="26"/>
          <w:szCs w:val="26"/>
        </w:rPr>
      </w:pPr>
      <w:r>
        <w:rPr>
          <w:rFonts w:eastAsia="Tahoma" w:cs="Tahoma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6"/>
          <w:szCs w:val="26"/>
          <w:u w:val="none"/>
          <w:shd w:fill="auto" w:val="clear"/>
          <w:lang w:val="pl-PL"/>
        </w:rPr>
        <w:t xml:space="preserve">Wymiana oświetlenia w budynku mieszkalnym przy ul. Nakielskiej 183 w Bydgoszczy </w:t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sz w:val="12"/>
          <w:szCs w:val="12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sz w:val="12"/>
          <w:szCs w:val="12"/>
          <w:u w:val="none"/>
          <w:lang w:val="pl-PL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sz w:val="12"/>
          <w:szCs w:val="12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sz w:val="12"/>
          <w:szCs w:val="12"/>
          <w:u w:val="none"/>
          <w:lang w:val="pl-PL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sz w:val="14"/>
          <w:szCs w:val="14"/>
        </w:rPr>
      </w:pPr>
      <w:r>
        <w:rPr>
          <w:rFonts w:cs="Tahoma" w:ascii="Calibri" w:hAnsi="Calibri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1.  Oferujemy wykonanie zamówienia w zakresie i na warunkach określonych w Specyfikacji Warunków Zamówienia (SWZ) wraz z załącznikami, w tym wzorze umowy:</w:t>
      </w:r>
    </w:p>
    <w:p>
      <w:pPr>
        <w:pStyle w:val="Normal"/>
        <w:bidi w:val="0"/>
        <w:spacing w:lineRule="auto" w:line="240" w:before="0" w:after="0"/>
        <w:jc w:val="center"/>
        <w:rPr>
          <w:rFonts w:ascii="Tahoma" w:hAnsi="Tahoma" w:cs="Tahoma"/>
          <w:b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lineRule="auto" w:line="240" w:before="0" w:after="0"/>
        <w:jc w:val="center"/>
        <w:rPr>
          <w:rFonts w:ascii="Tahoma" w:hAnsi="Tahoma" w:cs="Tahoma"/>
          <w:b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center"/>
        <w:rPr>
          <w:rFonts w:ascii="Calibri" w:hAnsi="Calibri"/>
          <w:sz w:val="24"/>
          <w:szCs w:val="24"/>
        </w:rPr>
      </w:pPr>
      <w:r>
        <w:rPr>
          <w:rFonts w:eastAsia="Arial Black" w:ascii="Calibri" w:hAnsi="Calibri"/>
          <w:i w:val="false"/>
          <w:iCs/>
          <w:strike w:val="false"/>
          <w:dstrike w:val="false"/>
          <w:sz w:val="24"/>
          <w:szCs w:val="24"/>
        </w:rPr>
        <w:t xml:space="preserve">* cena brutto oferty:   __________________________________  </w:t>
      </w:r>
      <w:r>
        <w:rPr>
          <w:rFonts w:eastAsia="Arial Black" w:ascii="Calibri" w:hAnsi="Calibri"/>
          <w:b w:val="false"/>
          <w:bCs w:val="false"/>
          <w:i w:val="false"/>
          <w:iCs/>
          <w:strike w:val="false"/>
          <w:dstrike w:val="false"/>
          <w:sz w:val="24"/>
          <w:szCs w:val="24"/>
        </w:rPr>
        <w:t>zł</w:t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1) 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1"/>
          <w:szCs w:val="21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(ryczałt)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 w całym okresie obowiązywania umowy.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5) udzielam gwarancji i rękojmi na wykonany przedmiot zamówienia, w tym 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>wykonane roboty budowlane , prace instalacyjne i montażowe, zastosowane materiały i wyroby, w tym zamontowane lub wbudowane urządzenia –  na okres 36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eastAsia="Microsoft YaHei" w:cs="Calibri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>TAK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</w:t>
        <w:br/>
        <w:t xml:space="preserve">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1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4z1">
    <w:name w:val="WW8Num14z1"/>
    <w:qFormat/>
    <w:rPr>
      <w:rFonts w:ascii="OpenSymbol" w:hAnsi="OpenSymbol" w:cs="OpenSymbol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  <w:sz w:val="20"/>
      <w:szCs w:val="20"/>
    </w:rPr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12z1">
    <w:name w:val="WW8Num12z1"/>
    <w:qFormat/>
    <w:rPr>
      <w:rFonts w:ascii="OpenSymbol" w:hAnsi="OpenSymbol" w:cs="OpenSymbol"/>
      <w:sz w:val="20"/>
      <w:szCs w:val="20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6z1">
    <w:name w:val="WW8Num16z1"/>
    <w:qFormat/>
    <w:rPr>
      <w:rFonts w:ascii="OpenSymbol" w:hAnsi="OpenSymbol" w:cs="OpenSymbol"/>
      <w:sz w:val="20"/>
      <w:szCs w:val="20"/>
    </w:rPr>
  </w:style>
  <w:style w:type="character" w:styleId="WW8Num11z1">
    <w:name w:val="WW8Num11z1"/>
    <w:qFormat/>
    <w:rPr>
      <w:rFonts w:ascii="OpenSymbol" w:hAnsi="OpenSymbol" w:cs="OpenSymbol"/>
      <w:sz w:val="20"/>
      <w:szCs w:val="20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4z0">
    <w:name w:val="WW8Num4z0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WW8Num15z1">
    <w:name w:val="WW8Num15z1"/>
    <w:qFormat/>
    <w:rPr>
      <w:rFonts w:ascii="OpenSymbol" w:hAnsi="OpenSymbol" w:cs="OpenSymbol"/>
      <w:sz w:val="20"/>
      <w:szCs w:val="20"/>
    </w:rPr>
  </w:style>
  <w:style w:type="character" w:styleId="WW8Num10z1">
    <w:name w:val="WW8Num10z1"/>
    <w:qFormat/>
    <w:rPr>
      <w:rFonts w:ascii="OpenSymbol" w:hAnsi="OpenSymbol" w:cs="OpenSymbol"/>
      <w:sz w:val="20"/>
      <w:szCs w:val="20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26z1">
    <w:name w:val="WW8Num26z1"/>
    <w:qFormat/>
    <w:rPr>
      <w:rFonts w:ascii="OpenSymbol" w:hAnsi="OpenSymbol" w:cs="OpenSymbol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  <w:sz w:val="20"/>
      <w:szCs w:val="20"/>
    </w:rPr>
  </w:style>
  <w:style w:type="character" w:styleId="WW8Num24z1">
    <w:name w:val="WW8Num24z1"/>
    <w:qFormat/>
    <w:rPr>
      <w:rFonts w:ascii="OpenSymbol" w:hAnsi="OpenSymbol" w:cs="OpenSymbol"/>
      <w:sz w:val="20"/>
      <w:szCs w:val="20"/>
    </w:rPr>
  </w:style>
  <w:style w:type="character" w:styleId="WW8Num23z1">
    <w:name w:val="WW8Num23z1"/>
    <w:qFormat/>
    <w:rPr>
      <w:rFonts w:ascii="OpenSymbol" w:hAnsi="OpenSymbol" w:cs="OpenSymbol"/>
      <w:sz w:val="20"/>
      <w:szCs w:val="20"/>
    </w:rPr>
  </w:style>
  <w:style w:type="character" w:styleId="WW8Num22z1">
    <w:name w:val="WW8Num22z1"/>
    <w:qFormat/>
    <w:rPr>
      <w:rFonts w:ascii="OpenSymbol" w:hAnsi="OpenSymbol" w:cs="OpenSymbol"/>
      <w:sz w:val="20"/>
      <w:szCs w:val="20"/>
    </w:rPr>
  </w:style>
  <w:style w:type="character" w:styleId="WW8Num21z1">
    <w:name w:val="WW8Num21z1"/>
    <w:qFormat/>
    <w:rPr>
      <w:rFonts w:ascii="OpenSymbol" w:hAnsi="OpenSymbol" w:cs="OpenSymbol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  <w:sz w:val="20"/>
      <w:szCs w:val="20"/>
    </w:rPr>
  </w:style>
  <w:style w:type="character" w:styleId="WW8Num20z0">
    <w:name w:val="WW8Num20z0"/>
    <w:qFormat/>
    <w:rPr>
      <w:rFonts w:ascii="Calibri" w:hAnsi="Calibri" w:cs="Calibri"/>
      <w:color w:val="auto"/>
      <w:sz w:val="21"/>
      <w:szCs w:val="21"/>
    </w:rPr>
  </w:style>
  <w:style w:type="character" w:styleId="WW8Num19z1">
    <w:name w:val="WW8Num19z1"/>
    <w:qFormat/>
    <w:rPr>
      <w:rFonts w:ascii="OpenSymbol" w:hAnsi="OpenSymbol" w:cs="OpenSymbol"/>
      <w:sz w:val="20"/>
      <w:szCs w:val="20"/>
    </w:rPr>
  </w:style>
  <w:style w:type="character" w:styleId="WW8Num18z1">
    <w:name w:val="WW8Num18z1"/>
    <w:qFormat/>
    <w:rPr>
      <w:rFonts w:ascii="OpenSymbol" w:hAnsi="OpenSymbol" w:cs="OpenSymbol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  <w:sz w:val="20"/>
      <w:szCs w:val="20"/>
    </w:rPr>
  </w:style>
  <w:style w:type="character" w:styleId="WW8Num16z0">
    <w:name w:val="WW8Num16z0"/>
    <w:qFormat/>
    <w:rPr>
      <w:rFonts w:ascii="Calibri" w:hAnsi="Calibri" w:cs="Calibri"/>
      <w:sz w:val="21"/>
      <w:szCs w:val="21"/>
    </w:rPr>
  </w:style>
  <w:style w:type="character" w:styleId="WW8Num15z0">
    <w:name w:val="WW8Num15z0"/>
    <w:qFormat/>
    <w:rPr>
      <w:rFonts w:ascii="Calibri" w:hAnsi="Calibri" w:cs="Calibri"/>
      <w:sz w:val="21"/>
      <w:szCs w:val="21"/>
    </w:rPr>
  </w:style>
  <w:style w:type="character" w:styleId="WW8Num14z0">
    <w:name w:val="WW8Num14z0"/>
    <w:qFormat/>
    <w:rPr>
      <w:rFonts w:ascii="Calibri" w:hAnsi="Calibri" w:cs="Calibri"/>
      <w:sz w:val="21"/>
      <w:szCs w:val="21"/>
    </w:rPr>
  </w:style>
  <w:style w:type="character" w:styleId="WW8Num13z0">
    <w:name w:val="WW8Num13z0"/>
    <w:qFormat/>
    <w:rPr>
      <w:rFonts w:ascii="Calibri" w:hAnsi="Calibri" w:cs="Calibri"/>
      <w:sz w:val="21"/>
      <w:szCs w:val="21"/>
    </w:rPr>
  </w:style>
  <w:style w:type="character" w:styleId="WW8Num12z0">
    <w:name w:val="WW8Num12z0"/>
    <w:qFormat/>
    <w:rPr>
      <w:rFonts w:ascii="Calibri" w:hAnsi="Calibri" w:cs="Calibri"/>
      <w:sz w:val="21"/>
      <w:szCs w:val="21"/>
    </w:rPr>
  </w:style>
  <w:style w:type="character" w:styleId="WW8Num11z0">
    <w:name w:val="WW8Num11z0"/>
    <w:qFormat/>
    <w:rPr>
      <w:sz w:val="16"/>
      <w:szCs w:val="16"/>
    </w:rPr>
  </w:style>
  <w:style w:type="character" w:styleId="WW8Num10z0">
    <w:name w:val="WW8Num10z0"/>
    <w:qFormat/>
    <w:rPr>
      <w:rFonts w:ascii="Calibri" w:hAnsi="Calibri" w:cs="Calibri"/>
      <w:sz w:val="21"/>
      <w:szCs w:val="21"/>
    </w:rPr>
  </w:style>
  <w:style w:type="character" w:styleId="WW8Num9z1">
    <w:name w:val="WW8Num9z1"/>
    <w:qFormat/>
    <w:rPr>
      <w:rFonts w:ascii="OpenSymbol" w:hAnsi="OpenSymbol" w:cs="OpenSymbol"/>
      <w:sz w:val="20"/>
      <w:szCs w:val="20"/>
    </w:rPr>
  </w:style>
  <w:style w:type="character" w:styleId="WW8Num8z1">
    <w:name w:val="WW8Num8z1"/>
    <w:qFormat/>
    <w:rPr>
      <w:rFonts w:ascii="OpenSymbol" w:hAnsi="OpenSymbol" w:cs="OpenSymbol"/>
      <w:sz w:val="20"/>
      <w:szCs w:val="20"/>
    </w:rPr>
  </w:style>
  <w:style w:type="character" w:styleId="WW8Num7z0">
    <w:name w:val="WW8Num7z0"/>
    <w:qFormat/>
    <w:rPr>
      <w:rFonts w:ascii="Calibri" w:hAnsi="Calibri" w:cs="Calibri"/>
      <w:sz w:val="21"/>
      <w:szCs w:val="21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1">
    <w:name w:val="WW8Num5z1"/>
    <w:qFormat/>
    <w:rPr>
      <w:rFonts w:ascii="OpenSymbol" w:hAnsi="OpenSymbol" w:cs="OpenSymbol"/>
    </w:rPr>
  </w:style>
  <w:style w:type="character" w:styleId="WW8Num4z1">
    <w:name w:val="WW8Num4z1"/>
    <w:qFormat/>
    <w:rPr>
      <w:rFonts w:ascii="OpenSymbol" w:hAnsi="OpenSymbol" w:cs="OpenSymbol"/>
    </w:rPr>
  </w:style>
  <w:style w:type="character" w:styleId="WW8Num3z1">
    <w:name w:val="WW8Num3z1"/>
    <w:qFormat/>
    <w:rPr>
      <w:rFonts w:ascii="OpenSymbol" w:hAnsi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Western">
    <w:name w:val="western"/>
    <w:basedOn w:val="Normal"/>
    <w:qFormat/>
    <w:pPr>
      <w:widowControl/>
      <w:suppressAutoHyphens w:val="false"/>
      <w:spacing w:before="280" w:after="119"/>
    </w:pPr>
    <w:rPr>
      <w:rFonts w:eastAsia="Arial Unicode MS"/>
      <w:color w:val="000000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334</TotalTime>
  <Application>LibreOffice/7.4.0.3$Windows_X86_64 LibreOffice_project/f85e47c08ddd19c015c0114a68350214f7066f5a</Application>
  <AppVersion>15.0000</AppVersion>
  <Pages>2</Pages>
  <Words>370</Words>
  <Characters>3485</Characters>
  <CharactersWithSpaces>3993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2023-04-13T13:00:57Z</cp:lastPrinted>
  <dcterms:modified xsi:type="dcterms:W3CDTF">2023-08-24T11:47:00Z</dcterms:modified>
  <cp:revision>104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