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>
          <w:rFonts w:ascii="Calibri" w:hAnsi="Calibri" w:eastAsia="NSimSun" w:cs="Calibri"/>
          <w:b/>
          <w:b/>
          <w:bCs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NSimSun" w:cs="Calibri" w:ascii="Calibri" w:hAnsi="Calibri"/>
          <w:b/>
          <w:bCs/>
          <w:color w:val="auto"/>
          <w:kern w:val="2"/>
          <w:sz w:val="21"/>
          <w:szCs w:val="21"/>
          <w:lang w:val="pl-PL" w:eastAsia="zh-CN" w:bidi="hi-IN"/>
        </w:rPr>
        <w:t xml:space="preserve"> </w:t>
      </w:r>
      <w:r>
        <w:rPr>
          <w:rFonts w:eastAsia="NSimSun" w:cs="Calibri" w:ascii="Calibri" w:hAnsi="Calibri"/>
          <w:b/>
          <w:bCs/>
          <w:color w:val="auto"/>
          <w:kern w:val="2"/>
          <w:sz w:val="21"/>
          <w:szCs w:val="21"/>
          <w:lang w:val="pl-PL" w:eastAsia="zh-CN" w:bidi="hi-IN"/>
        </w:rPr>
        <w:t xml:space="preserve">Załącznik nr 1 do SWZ– wzór formularza ofertowego </w:t>
      </w:r>
    </w:p>
    <w:p>
      <w:pPr>
        <w:pStyle w:val="Normal"/>
        <w:suppressAutoHyphens w:val="true"/>
        <w:bidi w:val="0"/>
        <w:jc w:val="left"/>
        <w:rPr>
          <w:rFonts w:ascii="Calibri" w:hAnsi="Calibri" w:cs="Tahoma"/>
          <w:b/>
          <w:b/>
          <w:bCs/>
          <w:sz w:val="20"/>
          <w:szCs w:val="20"/>
        </w:rPr>
      </w:pPr>
      <w:r>
        <w:rPr>
          <w:rFonts w:cs="Tahoma" w:ascii="Calibri" w:hAnsi="Calibri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>
                <w:rFonts w:ascii="Calibri" w:hAnsi="Calibri"/>
              </w:rPr>
            </w:pPr>
            <w:r>
              <w:rPr>
                <w:rFonts w:cs="Arial Black" w:ascii="Calibri" w:hAnsi="Calibri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Calibri" w:hAnsi="Calibri" w:eastAsia="Tahoma" w:cs="Tahoma"/>
          <w:sz w:val="20"/>
          <w:szCs w:val="20"/>
        </w:rPr>
      </w:pPr>
      <w:r>
        <w:rPr>
          <w:rFonts w:eastAsia="Tahoma" w:cs="Tahoma" w:ascii="Calibri" w:hAnsi="Calibri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projektowo-kosztorysowej na przebudowę i </w:t>
      </w:r>
      <w:r>
        <w:rPr>
          <w:rStyle w:val="Domylnaczcionkaakapitu1"/>
          <w:rFonts w:eastAsia="Times New Roman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rozbudowę wewnętrznej instalacji gazowej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gminnych lokali mieszkalnych zarządzanych przez Administrację Domów Miejskich „ADM” Sp. z o.o. w Bydgoszczy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postępowanie  nr 66/NM/2023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Fonts w:ascii="Calibri" w:hAnsi="Calibri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</w:rPr>
      </w:pPr>
      <w:r>
        <w:rPr>
          <w:rFonts w:cs="Tahoma" w:ascii="Calibri" w:hAnsi="Calibri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</w:rPr>
      </w:pPr>
      <w:r>
        <w:rPr>
          <w:rFonts w:cs="Tahoma" w:ascii="Calibri" w:hAnsi="Calibri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Calibri" w:hAnsi="Calibri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Calibri" w:hAnsi="Calibri"/>
        </w:rPr>
      </w:pPr>
      <w:r>
        <w:rPr>
          <w:rFonts w:cs="Tahoma" w:ascii="Calibri" w:hAnsi="Calibri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 -  w postępowaniu nr  </w:t>
      </w:r>
      <w:r>
        <w:rPr>
          <w:rFonts w:eastAsia="NSimSun" w:cs="Tahoma" w:ascii="Calibri" w:hAnsi="Calibri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66</w:t>
      </w:r>
      <w:r>
        <w:rPr>
          <w:rFonts w:cs="Tahoma" w:ascii="Calibri" w:hAnsi="Calibri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/NM/2023 – w części dotyczącej</w:t>
      </w:r>
    </w:p>
    <w:p>
      <w:pPr>
        <w:pStyle w:val="Normal"/>
        <w:bidi w:val="0"/>
        <w:spacing w:before="113" w:after="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538"/>
        <w:gridCol w:w="5099"/>
      </w:tblGrid>
      <w:tr>
        <w:trPr/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57" w:after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</w:rPr>
              <w:t>Numer zadania – adres lokalu</w:t>
            </w:r>
          </w:p>
          <w:p>
            <w:pPr>
              <w:pStyle w:val="Zawartotabeli"/>
              <w:widowControl w:val="false"/>
              <w:spacing w:before="57" w:after="0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</w:rPr>
              <w:t>Cena oferty brutto</w:t>
            </w:r>
          </w:p>
        </w:tc>
      </w:tr>
      <w:tr>
        <w:trPr/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 w:before="57"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Zadanie nr 1 – Smoleńska 62/1</w:t>
            </w:r>
          </w:p>
        </w:tc>
        <w:tc>
          <w:tcPr>
            <w:tcW w:w="5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</w:tr>
      <w:tr>
        <w:trPr/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 w:before="57"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Zadanie nr 2 – Smoleńska 62/11</w:t>
            </w:r>
          </w:p>
        </w:tc>
        <w:tc>
          <w:tcPr>
            <w:tcW w:w="5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</w:tr>
      <w:tr>
        <w:trPr/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 w:before="57"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Zadanie nr 3 – Smoleńska 66/3</w:t>
            </w:r>
          </w:p>
        </w:tc>
        <w:tc>
          <w:tcPr>
            <w:tcW w:w="5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</w:tr>
      <w:tr>
        <w:trPr/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 w:before="57"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Zadanie nr 4 – Smoleńska 74/1</w:t>
            </w:r>
          </w:p>
        </w:tc>
        <w:tc>
          <w:tcPr>
            <w:tcW w:w="5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</w:tr>
      <w:tr>
        <w:trPr/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 w:before="57"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Zadanie nr 5 – Smoleńska 80/6</w:t>
            </w:r>
          </w:p>
        </w:tc>
        <w:tc>
          <w:tcPr>
            <w:tcW w:w="5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</w:tr>
      <w:tr>
        <w:trPr/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 w:before="57"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Zadanie nr 6 – Smoleńska 90/3</w:t>
            </w:r>
          </w:p>
        </w:tc>
        <w:tc>
          <w:tcPr>
            <w:tcW w:w="5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</w:tr>
      <w:tr>
        <w:trPr/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 w:before="57"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Zadanie nr 7 – Smoleńska 90/9</w:t>
            </w:r>
          </w:p>
        </w:tc>
        <w:tc>
          <w:tcPr>
            <w:tcW w:w="5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</w:tr>
      <w:tr>
        <w:trPr/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 w:before="57"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Zadanie nr 8 – Smoleńska 98/17</w:t>
            </w:r>
          </w:p>
        </w:tc>
        <w:tc>
          <w:tcPr>
            <w:tcW w:w="5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</w:tr>
      <w:tr>
        <w:trPr/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 w:before="57"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Zadanie nr 9 – Smoleńska 100/19</w:t>
            </w:r>
          </w:p>
        </w:tc>
        <w:tc>
          <w:tcPr>
            <w:tcW w:w="5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</w:tr>
    </w:tbl>
    <w:p>
      <w:pPr>
        <w:pStyle w:val="Normal"/>
        <w:bidi w:val="0"/>
        <w:spacing w:before="113" w:after="0"/>
        <w:jc w:val="center"/>
        <w:rPr>
          <w:rFonts w:ascii="Calibri" w:hAnsi="Calibri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rFonts w:ascii="Calibri" w:hAnsi="Calibri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(niezmienny) w całym okresie obowiązywania umowy i nie będzie podlegała żadnym zmianom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</w:rPr>
      </w:pPr>
      <w:r>
        <w:rPr>
          <w:rFonts w:cs="Tahoma" w:ascii="Calibri" w:hAnsi="Calibri"/>
          <w:b w:val="false"/>
          <w:bCs w:val="false"/>
          <w:sz w:val="21"/>
          <w:szCs w:val="21"/>
        </w:rPr>
        <w:t xml:space="preserve">5)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udzielam gwarancji i rękojmi 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 xml:space="preserve"> na okres 36 miesięcy</w:t>
      </w:r>
      <w:r>
        <w:rPr>
          <w:rStyle w:val="Domylnaczcionkaakapitu"/>
          <w:rFonts w:eastAsia="Microsoft YaHei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>, jeżeli jednak w tym okresie  rozpoczęte zostaną roboty na  podstawie dokumentacji  okres  ten ulega przedłużeniu do dnia końcowego odbioru tychże robót. Bieg  terminu gwarancji i rękojmi rozpoczyna się od daty podpisania przez Strony końcowego protokołu odbioru.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rFonts w:ascii="Calibri" w:hAnsi="Calibri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</w:rPr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</w:rPr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166</TotalTime>
  <Application>LibreOffice/7.4.0.3$Windows_X86_64 LibreOffice_project/f85e47c08ddd19c015c0114a68350214f7066f5a</Application>
  <AppVersion>15.0000</AppVersion>
  <Pages>2</Pages>
  <Words>447</Words>
  <Characters>4154</Characters>
  <CharactersWithSpaces>4727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>Wioleta Michalska</cp:lastModifiedBy>
  <cp:lastPrinted>2023-03-27T10:50:13Z</cp:lastPrinted>
  <dcterms:modified xsi:type="dcterms:W3CDTF">2023-07-26T10:11:56Z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