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eastAsia="pl-PL"/>
        </w:rPr>
        <w:t xml:space="preserve">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shd w:fill="auto" w:val="clear"/>
          <w:lang w:eastAsia="pl-PL"/>
        </w:rPr>
        <w:t>Dotyczy  postępowania  nr 56/NM/2023</w:t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pl-PL" w:bidi="ar-SA"/>
        </w:rPr>
        <w:t xml:space="preserve"> projektowo-kosztorysowej na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  <w:t xml:space="preserve">rozbudowę i przebudowę zewnętrznej oraz wewnętrznej instalacji gazowej dla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  <w:t>gminnego budynku mieszkalnego przy ul. Gdańskiej 130 oficyna II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LibreOffice/7.4.0.3$Windows_X86_64 LibreOffice_project/f85e47c08ddd19c015c0114a68350214f7066f5a</Application>
  <AppVersion>15.0000</AppVersion>
  <Pages>1</Pages>
  <Words>91</Words>
  <Characters>1123</Characters>
  <CharactersWithSpaces>1312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2023-07-07T13:43:08Z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