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załącznik nr 1 do SWZ 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 42/NA/2023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single"/>
          <w:lang w:val="pl-PL" w:eastAsia="zh-CN" w:bidi="ar-SA"/>
        </w:rPr>
        <w:t>n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single"/>
          <w:lang w:val="pl-PL" w:eastAsia="pl-PL" w:bidi="ar-SA"/>
        </w:rPr>
        <w:t>azwa:</w:t>
      </w:r>
    </w:p>
    <w:p>
      <w:pPr>
        <w:pStyle w:val="Tekstpodstawowywcity2"/>
        <w:tabs>
          <w:tab w:val="clear" w:pos="709"/>
          <w:tab w:val="left" w:pos="6249" w:leader="none"/>
        </w:tabs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u w:val="none"/>
          <w:shd w:fill="FFFFFF" w:val="clear"/>
          <w:lang w:val="pl-PL" w:eastAsia="pl-PL" w:bidi="ar-SA"/>
        </w:rPr>
        <w:t>Świadczenie usług DDD (deratyzacja, dezynfekcja, dezynsekcja) w budynkach zarządzanych                              przez Administrację Domów Miejskich „ADM” Sp. z o.o.  w Bydgoszczy, z wyłączeniem                               wspólnot mieszkaniowych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z w:val="21"/>
          <w:szCs w:val="21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1"/>
          <w:szCs w:val="21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            w części dotyczącej :</w:t>
      </w:r>
    </w:p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227" w:after="0"/>
        <w:ind w:left="0" w:right="0" w:hanging="0"/>
        <w:rPr/>
      </w:pP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  <w:t xml:space="preserve">1) 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hi-IN"/>
        </w:rPr>
        <w:t xml:space="preserve">zadania nr 1  (dotyczy ROM-3) ,  </w:t>
      </w: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  <w:t xml:space="preserve">cena  brutto oferty   ________________________________ zł  </w:t>
      </w:r>
    </w:p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57" w:after="113"/>
        <w:ind w:left="0" w:right="0" w:hanging="0"/>
        <w:rPr/>
      </w:pPr>
      <w:r>
        <w:rPr>
          <w:rFonts w:eastAsia="Tahoma" w:cs="Tahoma" w:ascii="Calibri" w:hAnsi="Calibri"/>
          <w:b w:val="false"/>
          <w:bCs w:val="false"/>
          <w:i w:val="false"/>
          <w:iCs w:val="false"/>
          <w:color w:val="000000"/>
          <w:sz w:val="18"/>
          <w:szCs w:val="18"/>
          <w:lang w:val="pl-PL" w:eastAsia="zh-CN" w:bidi="ar-SA"/>
        </w:rPr>
        <w:t>zgodnie z poniższym wyliczeniem (tabelą kalkulacyjną):</w:t>
      </w:r>
    </w:p>
    <w:tbl>
      <w:tblPr>
        <w:tblW w:w="10500" w:type="dxa"/>
        <w:jc w:val="left"/>
        <w:tblInd w:w="-2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992"/>
        <w:gridCol w:w="2161"/>
        <w:gridCol w:w="2100"/>
        <w:gridCol w:w="2679"/>
      </w:tblGrid>
      <w:tr>
        <w:trPr>
          <w:trHeight w:val="70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Rodzaj usługi / zakres wykonywanych czynności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Szacowana Ilość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(w całym okresie trwania umowy)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Cena jednostkowa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brutto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Wartość brutto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( kol. 3  x kol. 4  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>
          <w:trHeight w:val="166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5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deratyzacji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- ilość punktów wyłożenia trutki  (szt)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16 780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dezynsekcji  (m²)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15 887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zł/m2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dezynfekcji   (m²)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2 179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zł/m2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dezynfekcji lokali  po zgonach (sztuki)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13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13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usunięcia gniazd os i szerszeni (sztuki)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firstLine="1304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usunięcia odchodów po gołębiach   (kg)</w:t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1 420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zł/kg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ustawienie stacji deratyzacyjnej</w:t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227" w:after="142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78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Ogółem Cena brutto oferty: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</w:tbl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227" w:after="0"/>
        <w:ind w:left="0" w:right="0" w:hanging="0"/>
        <w:rPr>
          <w:rFonts w:ascii="Calibri" w:hAnsi="Calibri" w:eastAsia="Tahoma" w:cs="Tahoma"/>
          <w:b/>
          <w:b/>
          <w:bCs/>
          <w:color w:val="002060"/>
          <w:sz w:val="20"/>
          <w:szCs w:val="20"/>
          <w:lang w:val="pl-PL" w:eastAsia="zh-CN" w:bidi="ar-SA"/>
        </w:rPr>
      </w:pPr>
      <w:r>
        <w:rPr/>
      </w:r>
    </w:p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227" w:after="0"/>
        <w:ind w:left="0" w:right="0" w:hanging="0"/>
        <w:rPr/>
      </w:pP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  <w:t xml:space="preserve">2) 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hi-IN"/>
        </w:rPr>
        <w:t xml:space="preserve">zadania nr 2 (dotyczy ROM-4) ,  </w:t>
      </w: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  <w:t xml:space="preserve">cena  brutto oferty   ________________________________ zł  </w:t>
      </w:r>
    </w:p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57" w:after="113"/>
        <w:ind w:left="0" w:right="0" w:hanging="0"/>
        <w:rPr/>
      </w:pPr>
      <w:r>
        <w:rPr>
          <w:rFonts w:eastAsia="Tahoma" w:cs="Tahoma" w:ascii="Calibri" w:hAnsi="Calibri"/>
          <w:b w:val="false"/>
          <w:bCs w:val="false"/>
          <w:i w:val="false"/>
          <w:iCs w:val="false"/>
          <w:color w:val="000000"/>
          <w:sz w:val="18"/>
          <w:szCs w:val="18"/>
          <w:lang w:val="pl-PL" w:eastAsia="zh-CN" w:bidi="ar-SA"/>
        </w:rPr>
        <w:t>zgodnie z poniższym wyliczeniem (tabelą kalkulacyjną):</w:t>
      </w:r>
    </w:p>
    <w:tbl>
      <w:tblPr>
        <w:tblW w:w="10500" w:type="dxa"/>
        <w:jc w:val="left"/>
        <w:tblInd w:w="-2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992"/>
        <w:gridCol w:w="2161"/>
        <w:gridCol w:w="2100"/>
        <w:gridCol w:w="2679"/>
      </w:tblGrid>
      <w:tr>
        <w:trPr>
          <w:trHeight w:val="70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Rodzaj usługi / zakres wykonywanych czynności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Szacowana Ilość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(w całym okresie trwania umowy)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Cena jednostkowa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brutto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Wartość brutto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( kol. 3  x kol. 4  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>
          <w:trHeight w:val="166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5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deratyzacji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- ilość punktów wyłożenia trutki  (szt)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15 485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dezynsekcji  (m²)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65 300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zł/m2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dezynfekcji   (m²)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14 000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zł/m2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dezynfekcji lokali  po zgonach (sztuki)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13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13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usunięcia gniazd os i szerszeni (sztuki)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firstLine="1304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usunięcia odchodów po gołębiach   (kg)</w:t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2 000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zł/kg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ustawienie stacji deratyzacyjnej</w:t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227" w:after="142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78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113" w:after="142"/>
              <w:jc w:val="right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Ogółem Cena brutto oferty: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</w:tbl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17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5)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>
          <w:rFonts w:ascii="Calibri" w:hAnsi="Calibri" w:eastAsia="NSimSun" w:cs="Calibri"/>
          <w:b/>
          <w:b/>
          <w:bCs/>
          <w:i w:val="false"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</w:pPr>
      <w:r>
        <w:rPr/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/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wskazać, którego zadania będzie dotyczyć podwykonawstwo oraz opisać szczegółowo zakres prac jakie wykonawca zamierza zlecić podwykonawcy, wskazać tego podwykonawcę,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4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57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7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/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  <w:t>__________________________________</w:t>
        <w:tab/>
        <w:tab/>
        <w:tab/>
        <w:tab/>
        <w:t xml:space="preserve"> 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Style w:val="Domylnaczcionkaakapitu"/>
          <w:rFonts w:eastAsia="Calibri" w:ascii="Calibri" w:hAnsi="Calibri"/>
          <w:sz w:val="16"/>
          <w:szCs w:val="16"/>
        </w:rPr>
        <w:t xml:space="preserve">  </w:t>
      </w:r>
      <w:r>
        <w:rPr>
          <w:rStyle w:val="Domylnaczcionkaakapitu"/>
          <w:rFonts w:ascii="Calibri" w:hAnsi="Calibri"/>
          <w:sz w:val="16"/>
          <w:szCs w:val="16"/>
        </w:rPr>
        <w:t>(data sporządzenia oferty)        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568" w:footer="0" w:bottom="1131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ListParagraphL1Numerowanie2headingAwyliczenieKPodwolanieAkapitzlist5mazwyliczenieopisdzialania">
    <w:name w:val="List Paragraph,L1,Numerowanie,2 heading,A_wyliczenie,K-P_odwolanie,Akapit z listą5,maz_wyliczenie,opis dzialania"/>
    <w:basedOn w:val="Normal"/>
    <w:qFormat/>
    <w:pPr>
      <w:ind w:left="708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2">
    <w:name w:val="Tekst podstawowy 22"/>
    <w:basedOn w:val="Normal"/>
    <w:qFormat/>
    <w:pPr>
      <w:jc w:val="center"/>
    </w:pPr>
    <w:rPr/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483</TotalTime>
  <Application>LibreOffice/7.4.0.3$Windows_X86_64 LibreOffice_project/f85e47c08ddd19c015c0114a68350214f7066f5a</Application>
  <AppVersion>15.0000</AppVersion>
  <Pages>3</Pages>
  <Words>623</Words>
  <Characters>4855</Characters>
  <CharactersWithSpaces>5589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2023-06-06T10:27:25Z</cp:lastPrinted>
  <dcterms:modified xsi:type="dcterms:W3CDTF">2023-06-06T10:27:13Z</dcterms:modified>
  <cp:revision>257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