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right"/>
        <w:rPr>
          <w:sz w:val="22"/>
          <w:szCs w:val="22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2"/>
          <w:szCs w:val="22"/>
          <w:u w:val="none"/>
          <w:lang w:eastAsia="pl-PL"/>
        </w:rPr>
        <w:t xml:space="preserve">Wzór – załącznik do SWZ 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color w:val="00008B"/>
          <w:sz w:val="24"/>
          <w:szCs w:val="24"/>
        </w:rPr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/>
          <w:color w:val="00008B"/>
          <w:sz w:val="24"/>
          <w:szCs w:val="24"/>
        </w:rPr>
      </w:pP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 xml:space="preserve">Dotyczy postępowania  nr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 xml:space="preserve">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77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>Remonty pokryć dachowych budynków zarządzanych przez Administrację Domów Miejskich  „ADM” Sp. z o.o.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WYKONANYCH  ROBÓT BUDOWLANYCH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(DEKARSKIE)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–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REMONTY POKRYĆ DACHOWYCH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01"/>
    <w:family w:val="swiss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LibreOffice/7.1.6.2$Windows_X86_64 LibreOffice_project/0e133318fcee89abacd6a7d077e292f1145735c3</Application>
  <AppVersion>15.0000</AppVersion>
  <Pages>1</Pages>
  <Words>109</Words>
  <Characters>1208</Characters>
  <CharactersWithSpaces>1425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2022-08-09T10:41:08Z</cp:lastPrinted>
  <dcterms:modified xsi:type="dcterms:W3CDTF">2022-09-27T15:13:00Z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