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 58/NA/2022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Remont elewacji frontowej  budynku mieszkalnego przy ul. Łokietka 7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LibreOffice/7.1.6.2$Windows_X86_64 LibreOffice_project/0e133318fcee89abacd6a7d077e292f1145735c3</Application>
  <AppVersion>15.0000</AppVersion>
  <Pages>2</Pages>
  <Words>369</Words>
  <Characters>4209</Characters>
  <CharactersWithSpaces>4851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cp:lastPrinted>2022-08-09T10:40:18Z</cp:lastPrinted>
  <dcterms:modified xsi:type="dcterms:W3CDTF">2022-08-09T10:40:22Z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