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46/NA/2022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tabs>
          <w:tab w:val="left" w:pos="6249" w:leader="none"/>
        </w:tabs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Dostawa wody 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mineralnej 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gazowanej i niegazowanej dla Spółki ADM w Bydgoszczy, w okresie od dnia zawarcia umowy do dnia 30.09.2022r. do wskazanych siedzib (jednostek organizacyjnych) Zamawiającego zlokalizowanych na terenie miasta Bydgoszczy</w:t>
      </w:r>
    </w:p>
    <w:p>
      <w:pPr>
        <w:pStyle w:val="Normal"/>
        <w:widowControl/>
        <w:shd w:val="clear" w:fill="FFFFFF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1.  Oferujemy wykonanie zamówienia w zakresie i na warunkach określonych w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Specyfikacji Warunków Zamówienia wraz z  załącznikami, w tym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wzorze umowy                                                      - w postępowaniu nr 46/NA/2022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27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>* 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____________________________________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113"/>
        <w:ind w:left="0" w:right="0" w:hanging="0"/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113"/>
        <w:ind w:left="0" w:right="0" w:hanging="0"/>
        <w:jc w:val="left"/>
        <w:rPr/>
      </w:pPr>
      <w:r>
        <w:rPr>
          <w:rFonts w:cs="Tahoma" w:ascii="Tahoma" w:hAnsi="Tahoma"/>
          <w:b/>
          <w:sz w:val="18"/>
          <w:szCs w:val="18"/>
        </w:rPr>
        <w:t>2.  Kalkulacja ceny ofertowej:</w:t>
      </w:r>
    </w:p>
    <w:tbl>
      <w:tblPr>
        <w:tblW w:w="976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5"/>
        <w:gridCol w:w="2213"/>
        <w:gridCol w:w="2149"/>
        <w:gridCol w:w="2624"/>
      </w:tblGrid>
      <w:tr>
        <w:trPr/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jednostkowa  brutto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za 1 butelkę  o pojemności  0,5 litra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Szacunkowa wielkość zapotrzebowania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(ilość butelek o pojemności  0,5 l)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kol.2 x kol.3 )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2</w:t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3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4</w:t>
            </w:r>
          </w:p>
        </w:tc>
      </w:tr>
      <w:tr>
        <w:trPr>
          <w:trHeight w:val="750" w:hRule="atLeast"/>
        </w:trPr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>woda mineralna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TimesNewRomanPSMT;Times New Roman" w:cs="Calibri" w:ascii="Calibri" w:hAnsi="Calibri"/>
                <w:b/>
                <w:bCs/>
                <w:sz w:val="22"/>
                <w:szCs w:val="22"/>
              </w:rPr>
              <w:t xml:space="preserve">7 100 </w:t>
            </w: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 xml:space="preserve">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eastAsia="Lucida Sans Unicode" w:cs="Calibri" w:ascii="Calibri" w:hAnsi="Calibri"/>
                <w:color w:val="auto"/>
                <w:kern w:val="2"/>
                <w:sz w:val="20"/>
                <w:szCs w:val="20"/>
                <w:lang w:val="pl-PL" w:eastAsia="zh-CN" w:bidi="zxx"/>
              </w:rPr>
              <w:t>woda mineralna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eastAsia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TimesNewRomanPSMT;Times New Roman" w:cs="Calibri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zxx"/>
              </w:rPr>
              <w:t>7 100 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13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OGÓŁEM  CENA  BRUTTO  OFERTY</w:t>
            </w: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 xml:space="preserve"> (przenieść do pkt. 1 oferty):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Woda mineralna GAZOWANA   (nazwa, producent):        </w:t>
      </w:r>
      <w:r>
        <w:rPr>
          <w:rFonts w:cs="Tahoma" w:ascii="Tahoma" w:hAnsi="Tahoma"/>
          <w:b w:val="false"/>
          <w:bCs w:val="false"/>
          <w:sz w:val="12"/>
          <w:szCs w:val="12"/>
        </w:rPr>
        <w:t>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Woda mineralna NIEGAZOWANA  (nazwa, producent):   </w:t>
      </w:r>
      <w:r>
        <w:rPr>
          <w:rFonts w:cs="Tahoma" w:ascii="Tahoma" w:hAnsi="Tahoma"/>
          <w:b w:val="false"/>
          <w:bCs w:val="false"/>
          <w:sz w:val="12"/>
          <w:szCs w:val="12"/>
        </w:rPr>
        <w:t>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 w:val="false"/>
          <w:b w:val="false"/>
          <w:sz w:val="18"/>
          <w:szCs w:val="18"/>
        </w:rPr>
      </w:pPr>
      <w:r>
        <w:rPr>
          <w:rFonts w:cs="Tahoma" w:ascii="Tahoma" w:hAnsi="Tahoma"/>
          <w:b w:val="false"/>
          <w:sz w:val="18"/>
          <w:szCs w:val="18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a podane ceny jednostkowe brutto mają charakter stały (ryczałt) w całym okresie obowiązywania umowy i nie będą podlegały żadnym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zmianom (waloryzacji)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5) ni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e podlegam wykluczeniu z niniejszego postępowania z powodu okoliczności wskazanych przez Zamawiającego w SWZ,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LibreOffice/7.1.6.2$Windows_X86_64 LibreOffice_project/0e133318fcee89abacd6a7d077e292f1145735c3</Application>
  <AppVersion>15.0000</AppVersion>
  <Pages>2</Pages>
  <Words>479</Words>
  <Characters>4474</Characters>
  <CharactersWithSpaces>5156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2022-07-06T11:58:16Z</cp:lastPrinted>
  <dcterms:modified xsi:type="dcterms:W3CDTF">2022-07-06T11:59:10Z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