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ind w:left="0" w:right="0" w:hanging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 xml:space="preserve"> </w:t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20/NA/2022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Usługa bieżącej konserwacji i obsługi węzłów cieplnych oraz kotłowni gazowych                  usytuowanych w budynkach zarządzanych przez Spółkę  „ADM”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 New Roman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           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1) zadania nr 1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1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9875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013"/>
        <w:gridCol w:w="1123"/>
        <w:gridCol w:w="1763"/>
        <w:gridCol w:w="3526"/>
      </w:tblGrid>
      <w:tr>
        <w:trPr>
          <w:trHeight w:val="1700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25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2) zadania nr 2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2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038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3016"/>
        <w:gridCol w:w="1124"/>
        <w:gridCol w:w="1850"/>
        <w:gridCol w:w="3601"/>
      </w:tblGrid>
      <w:tr>
        <w:trPr>
          <w:trHeight w:val="315" w:hRule="atLeast"/>
          <w:cantSplit w:val="true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9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Style w:val="Mocnewyrnione"/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3) zadania nr 3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3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038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3016"/>
        <w:gridCol w:w="1124"/>
        <w:gridCol w:w="1875"/>
        <w:gridCol w:w="3576"/>
      </w:tblGrid>
      <w:tr>
        <w:trPr>
          <w:trHeight w:val="315" w:hRule="atLeast"/>
          <w:cantSplit w:val="true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BRUTTO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       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kol.2  x  kol.3 x  kol. 4)</w:t>
            </w:r>
          </w:p>
        </w:tc>
      </w:tr>
      <w:tr>
        <w:trPr/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5</w:t>
            </w:r>
          </w:p>
        </w:tc>
      </w:tr>
      <w:tr>
        <w:trPr>
          <w:trHeight w:val="734" w:hRule="atLeast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7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Style w:val="Mocnewyrnione"/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 xml:space="preserve">zgodnie </w:t>
        <w:br/>
        <w:t>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 jestem związany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wzór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umowy - załącznik do SWZ) </w:t>
        <w:br/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 się do zawarcia umowy na warunkach, w miejscu i terminie określonym przez zamawiającego, dostarczenia wszystkich wymaganych dokumentów i oświadczeń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a cena jednostkowa ma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warunki udziału w niniejszy postępowaniu, dysponuję osobami zdolnymi do realizacji zamówienia posiadającymi wymagane kwalifikacje i doświadczenie zawodowe oraz nie podlegam wykluczeniu z 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</w:t>
        <w:br/>
        <w:t>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LibreOffice/7.1.6.2$Windows_X86_64 LibreOffice_project/0e133318fcee89abacd6a7d077e292f1145735c3</Application>
  <AppVersion>15.0000</AppVersion>
  <Pages>4</Pages>
  <Words>565</Words>
  <Characters>4555</Characters>
  <CharactersWithSpaces>5305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2022-03-31T11:49:38Z</cp:lastPrinted>
  <dcterms:modified xsi:type="dcterms:W3CDTF">2022-04-08T09:50:28Z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