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Załącznik nr 1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 w:val="false"/>
          <w:b w:val="false"/>
          <w:bCs w:val="false"/>
          <w:sz w:val="19"/>
          <w:szCs w:val="19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</w:r>
    </w:p>
    <w:p>
      <w:pPr>
        <w:pStyle w:val="Normal"/>
        <w:widowControl/>
        <w:tabs>
          <w:tab w:val="clear" w:pos="709"/>
          <w:tab w:val="left" w:pos="135" w:leader="none"/>
        </w:tabs>
        <w:suppressAutoHyphens w:val="true"/>
        <w:bidi w:val="0"/>
        <w:spacing w:lineRule="auto" w:line="240" w:before="57" w:after="227"/>
        <w:ind w:left="0" w:right="0" w:hanging="0"/>
        <w:jc w:val="center"/>
        <w:rPr/>
      </w:pPr>
      <w:r>
        <w:rPr>
          <w:rStyle w:val="Domylnaczcionkaakapitu"/>
          <w:rFonts w:eastAsia="Tahoma" w:cs="Arial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Okresowe przeglądy serwisowe (pogwarancyjne) kotłów gazowych  w lokalach mieszkalnych i użytkowych zarządzanych przez Administrację Domów Miejskich „ADM” Sp. z o.o.  w Bydgoszczy  - postępowanie nr 5/NA/2022</w:t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FORMULARZ  OFERTOWY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Oferujemy wykonanie zamówienia w zakresie i na warunkach określonych w zaproszeniu do złożenia ofe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rty z dnia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09.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02.2022r. or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555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550"/>
      </w:tblGrid>
      <w:tr>
        <w:trPr/>
        <w:tc>
          <w:tcPr>
            <w:tcW w:w="5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>
                <w:highlight w:val="yellow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yellow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yellow"/>
                <w:u w:val="none"/>
                <w:lang w:val="pl-PL" w:eastAsia="zh-CN" w:bidi="ar-SA"/>
              </w:rPr>
              <w:t>w części dotyczącej  ZADANIA NR 1  (ROM-2)</w:t>
            </w:r>
          </w:p>
        </w:tc>
      </w:tr>
    </w:tbl>
    <w:p>
      <w:pPr>
        <w:pStyle w:val="Stopka"/>
        <w:tabs>
          <w:tab w:val="clear" w:pos="4536"/>
          <w:tab w:val="clear" w:pos="9072"/>
        </w:tabs>
        <w:jc w:val="left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Stopka"/>
        <w:tabs>
          <w:tab w:val="clear" w:pos="4536"/>
          <w:tab w:val="clear" w:pos="9072"/>
        </w:tabs>
        <w:jc w:val="left"/>
        <w:rPr>
          <w:rFonts w:ascii="Tahoma" w:hAnsi="Tahoma" w:cs="Tahoma"/>
          <w:b/>
          <w:b/>
          <w:bCs/>
          <w:color w:val="000000"/>
          <w:sz w:val="19"/>
          <w:szCs w:val="19"/>
          <w:u w:val="none"/>
        </w:rPr>
      </w:pPr>
      <w:r>
        <w:rPr>
          <w:rFonts w:cs="Tahoma" w:ascii="Tahoma" w:hAnsi="Tahoma"/>
          <w:b/>
          <w:bCs/>
          <w:color w:val="000000"/>
          <w:sz w:val="19"/>
          <w:szCs w:val="19"/>
          <w:u w:val="none"/>
        </w:rPr>
        <w:t>* tabela kalkulacyjna:</w:t>
      </w:r>
    </w:p>
    <w:p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  <w:b/>
          <w:b/>
          <w:bCs/>
          <w:color w:val="000000"/>
          <w:sz w:val="19"/>
          <w:szCs w:val="19"/>
          <w:u w:val="none"/>
        </w:rPr>
      </w:pPr>
      <w:r>
        <w:rPr>
          <w:rFonts w:cs="Tahoma" w:ascii="Tahoma" w:hAnsi="Tahoma"/>
          <w:b/>
          <w:bCs/>
          <w:color w:val="000000"/>
          <w:sz w:val="19"/>
          <w:szCs w:val="19"/>
          <w:u w:val="none"/>
        </w:rPr>
      </w:r>
    </w:p>
    <w:tbl>
      <w:tblPr>
        <w:tblW w:w="10472" w:type="dxa"/>
        <w:jc w:val="left"/>
        <w:tblInd w:w="-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00"/>
        <w:gridCol w:w="1872"/>
        <w:gridCol w:w="2596"/>
        <w:gridCol w:w="2829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L. p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Przedmiot zamówienia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Liczba kotłów gazowych objętych zamówieniem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(szt)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 xml:space="preserve">Cena jednostkowa BRUTTO </w:t>
            </w: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za przegląd serwisowy   kotła gazowego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(ryczałt za sztukę)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NSimSun" w:cs="Tahoma"/>
                <w:b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CENA BRUTTO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NSimSun" w:cs="Tahoma"/>
                <w:b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ZADANIE NR 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kol.3 x kol.4 )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2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3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4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NSimSun" w:cs="Tahoma"/>
                <w:b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okresowy przegląd serwisowy (pogwarancyjny)  kotła gazowego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Calibri" w:hAnsi="Calibri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Calibri" w:hAnsi="Calibri"/>
                <w:b/>
                <w:bCs/>
                <w:sz w:val="24"/>
                <w:szCs w:val="24"/>
              </w:rPr>
              <w:t>82 sztuki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555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550"/>
      </w:tblGrid>
      <w:tr>
        <w:trPr/>
        <w:tc>
          <w:tcPr>
            <w:tcW w:w="5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>
                <w:highlight w:val="yellow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yellow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yellow"/>
                <w:u w:val="none"/>
                <w:lang w:val="pl-PL" w:eastAsia="zh-CN" w:bidi="ar-SA"/>
              </w:rPr>
              <w:t>w części dotyczącej  ZADANIA NR 2  (ROM-3)</w:t>
            </w:r>
          </w:p>
        </w:tc>
      </w:tr>
    </w:tbl>
    <w:p>
      <w:pPr>
        <w:pStyle w:val="Stopka"/>
        <w:tabs>
          <w:tab w:val="clear" w:pos="4536"/>
          <w:tab w:val="clear" w:pos="9072"/>
        </w:tabs>
        <w:jc w:val="left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Stopka"/>
        <w:tabs>
          <w:tab w:val="clear" w:pos="4536"/>
          <w:tab w:val="clear" w:pos="9072"/>
        </w:tabs>
        <w:jc w:val="left"/>
        <w:rPr>
          <w:rFonts w:ascii="Tahoma" w:hAnsi="Tahoma" w:cs="Tahoma"/>
          <w:b/>
          <w:b/>
          <w:bCs/>
          <w:color w:val="000000"/>
          <w:sz w:val="19"/>
          <w:szCs w:val="19"/>
          <w:u w:val="none"/>
        </w:rPr>
      </w:pPr>
      <w:r>
        <w:rPr>
          <w:rFonts w:cs="Tahoma" w:ascii="Tahoma" w:hAnsi="Tahoma"/>
          <w:b/>
          <w:bCs/>
          <w:color w:val="000000"/>
          <w:sz w:val="19"/>
          <w:szCs w:val="19"/>
          <w:u w:val="none"/>
        </w:rPr>
        <w:t>* tabela kalkulacyjna:</w:t>
      </w:r>
    </w:p>
    <w:p>
      <w:pPr>
        <w:pStyle w:val="Stopka"/>
        <w:tabs>
          <w:tab w:val="clear" w:pos="4536"/>
          <w:tab w:val="clear" w:pos="9072"/>
        </w:tabs>
        <w:jc w:val="left"/>
        <w:rPr>
          <w:rFonts w:ascii="Tahoma" w:hAnsi="Tahoma" w:cs="Tahoma"/>
          <w:b/>
          <w:b/>
          <w:bCs/>
          <w:color w:val="000000"/>
          <w:sz w:val="19"/>
          <w:szCs w:val="19"/>
          <w:u w:val="none"/>
        </w:rPr>
      </w:pPr>
      <w:r>
        <w:rPr>
          <w:rFonts w:cs="Tahoma" w:ascii="Tahoma" w:hAnsi="Tahoma"/>
          <w:b/>
          <w:bCs/>
          <w:color w:val="000000"/>
          <w:sz w:val="19"/>
          <w:szCs w:val="19"/>
          <w:u w:val="none"/>
        </w:rPr>
      </w:r>
    </w:p>
    <w:p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  <w:b/>
          <w:b/>
          <w:bCs/>
          <w:color w:val="000000"/>
          <w:sz w:val="19"/>
          <w:szCs w:val="19"/>
          <w:u w:val="none"/>
        </w:rPr>
      </w:pPr>
      <w:r>
        <w:rPr>
          <w:rFonts w:cs="Tahoma" w:ascii="Tahoma" w:hAnsi="Tahoma"/>
          <w:b/>
          <w:bCs/>
          <w:color w:val="000000"/>
          <w:sz w:val="19"/>
          <w:szCs w:val="19"/>
          <w:u w:val="none"/>
        </w:rPr>
      </w:r>
    </w:p>
    <w:p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  <w:b/>
          <w:b/>
          <w:bCs/>
          <w:color w:val="000000"/>
          <w:sz w:val="19"/>
          <w:szCs w:val="19"/>
          <w:u w:val="none"/>
        </w:rPr>
      </w:pPr>
      <w:r>
        <w:rPr>
          <w:rFonts w:cs="Tahoma" w:ascii="Tahoma" w:hAnsi="Tahoma"/>
          <w:b/>
          <w:bCs/>
          <w:color w:val="000000"/>
          <w:sz w:val="19"/>
          <w:szCs w:val="19"/>
          <w:u w:val="none"/>
        </w:rPr>
      </w:r>
    </w:p>
    <w:p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  <w:b/>
          <w:b/>
          <w:bCs/>
          <w:color w:val="000000"/>
          <w:sz w:val="19"/>
          <w:szCs w:val="19"/>
          <w:u w:val="none"/>
        </w:rPr>
      </w:pPr>
      <w:r>
        <w:rPr>
          <w:rFonts w:cs="Tahoma" w:ascii="Tahoma" w:hAnsi="Tahoma"/>
          <w:b/>
          <w:bCs/>
          <w:color w:val="000000"/>
          <w:sz w:val="19"/>
          <w:szCs w:val="19"/>
          <w:u w:val="none"/>
        </w:rPr>
      </w:r>
    </w:p>
    <w:tbl>
      <w:tblPr>
        <w:tblW w:w="10472" w:type="dxa"/>
        <w:jc w:val="left"/>
        <w:tblInd w:w="-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00"/>
        <w:gridCol w:w="1872"/>
        <w:gridCol w:w="2596"/>
        <w:gridCol w:w="2829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L. p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Przedmiot zamówienia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Liczba kotłów gazowych objętych zamówieniem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(szt)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 xml:space="preserve">Cena jednostkowa BRUTTO </w:t>
            </w: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za przegląd serwisowy   kotła gazowego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(ryczałt za sztukę)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NSimSun" w:cs="Tahoma"/>
                <w:b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CENA BRUTTO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NSimSun" w:cs="Tahoma"/>
                <w:b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ZADANIE NR 2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kol.3 x kol.4 )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2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3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4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NSimSun" w:cs="Tahoma"/>
                <w:b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okresowy przegląd serwisowy (pogwarancyjny)  kotła gazowego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Calibri" w:hAnsi="Calibri"/>
                <w:b/>
                <w:bCs/>
                <w:sz w:val="24"/>
                <w:szCs w:val="24"/>
              </w:rPr>
              <w:t>1</w:t>
            </w:r>
            <w:r>
              <w:rPr>
                <w:rFonts w:cs="Tahoma" w:ascii="Calibri" w:hAnsi="Calibri"/>
                <w:b/>
                <w:bCs/>
                <w:sz w:val="24"/>
                <w:szCs w:val="24"/>
              </w:rPr>
              <w:t>2 sztuk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555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550"/>
      </w:tblGrid>
      <w:tr>
        <w:trPr/>
        <w:tc>
          <w:tcPr>
            <w:tcW w:w="5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>
                <w:highlight w:val="yellow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yellow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yellow"/>
                <w:u w:val="none"/>
                <w:lang w:val="pl-PL" w:eastAsia="zh-CN" w:bidi="ar-SA"/>
              </w:rPr>
              <w:t>w części dotyczącej  ZADANIA NR 3  (ROM-4)</w:t>
            </w:r>
          </w:p>
        </w:tc>
      </w:tr>
    </w:tbl>
    <w:p>
      <w:pPr>
        <w:pStyle w:val="Stopka"/>
        <w:tabs>
          <w:tab w:val="clear" w:pos="4536"/>
          <w:tab w:val="clear" w:pos="9072"/>
        </w:tabs>
        <w:jc w:val="left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Stopka"/>
        <w:tabs>
          <w:tab w:val="clear" w:pos="4536"/>
          <w:tab w:val="clear" w:pos="9072"/>
        </w:tabs>
        <w:jc w:val="left"/>
        <w:rPr>
          <w:rFonts w:ascii="Tahoma" w:hAnsi="Tahoma" w:cs="Tahoma"/>
          <w:b/>
          <w:b/>
          <w:bCs/>
          <w:color w:val="000000"/>
          <w:sz w:val="19"/>
          <w:szCs w:val="19"/>
          <w:u w:val="none"/>
        </w:rPr>
      </w:pPr>
      <w:r>
        <w:rPr>
          <w:rFonts w:cs="Tahoma" w:ascii="Tahoma" w:hAnsi="Tahoma"/>
          <w:b/>
          <w:bCs/>
          <w:color w:val="000000"/>
          <w:sz w:val="19"/>
          <w:szCs w:val="19"/>
          <w:u w:val="none"/>
        </w:rPr>
        <w:t>* tabela kalkulacyjna:</w:t>
      </w:r>
    </w:p>
    <w:p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  <w:b/>
          <w:b/>
          <w:bCs/>
          <w:color w:val="000000"/>
          <w:sz w:val="19"/>
          <w:szCs w:val="19"/>
          <w:u w:val="none"/>
        </w:rPr>
      </w:pPr>
      <w:r>
        <w:rPr>
          <w:rFonts w:cs="Tahoma" w:ascii="Tahoma" w:hAnsi="Tahoma"/>
          <w:b/>
          <w:bCs/>
          <w:color w:val="000000"/>
          <w:sz w:val="19"/>
          <w:szCs w:val="19"/>
          <w:u w:val="none"/>
        </w:rPr>
      </w:r>
    </w:p>
    <w:tbl>
      <w:tblPr>
        <w:tblW w:w="10472" w:type="dxa"/>
        <w:jc w:val="left"/>
        <w:tblInd w:w="-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00"/>
        <w:gridCol w:w="1872"/>
        <w:gridCol w:w="2596"/>
        <w:gridCol w:w="2829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L. p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Przedmiot zamówienia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Liczba kotłów gazowych objętych zamówieniem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(szt)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 xml:space="preserve">Cena jednostkowa BRUTTO </w:t>
            </w: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za przegląd serwisowy   kotła gazowego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(ryczałt za sztukę)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NSimSun" w:cs="Tahoma"/>
                <w:b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CENA BRUTTO OFERTY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NSimSun" w:cs="Tahoma"/>
                <w:b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ZADANIE NR 3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 kol.3 x kol.4 )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2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3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4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eastAsia="NSimSun" w:cs="Tahoma"/>
                <w:b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okresowy przegląd serwisowy (pogwarancyjny)  kotła gazowego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Calibri" w:hAnsi="Calibri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Calibri" w:hAnsi="Calibri"/>
                <w:b/>
                <w:bCs/>
                <w:sz w:val="24"/>
                <w:szCs w:val="24"/>
              </w:rPr>
              <w:t>24</w:t>
            </w:r>
            <w:r>
              <w:rPr>
                <w:rFonts w:cs="Tahoma" w:ascii="Calibri" w:hAnsi="Calibri"/>
                <w:b/>
                <w:bCs/>
                <w:sz w:val="24"/>
                <w:szCs w:val="24"/>
              </w:rPr>
              <w:t xml:space="preserve"> sztuk</w:t>
            </w:r>
            <w:r>
              <w:rPr>
                <w:rFonts w:cs="Tahoma" w:ascii="Calibri" w:hAnsi="Calibri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Tekstpodstawowy23"/>
        <w:suppressLineNumbers/>
        <w:tabs>
          <w:tab w:val="clear" w:pos="709"/>
          <w:tab w:val="left" w:pos="615" w:leader="none"/>
          <w:tab w:val="left" w:pos="1080" w:leader="none"/>
        </w:tabs>
        <w:bidi w:val="0"/>
        <w:spacing w:lineRule="auto" w:line="276" w:before="227" w:after="0"/>
        <w:ind w:left="0" w:right="0" w:hanging="0"/>
        <w:jc w:val="both"/>
        <w:rPr>
          <w:rStyle w:val="Mocnewyrnione"/>
          <w:rFonts w:ascii="Calibri" w:hAnsi="Calibri" w:eastAsia="Tahoma" w:cs="Calibri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Normal"/>
        <w:bidi w:val="0"/>
        <w:spacing w:before="113" w:after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09.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02.2022r.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jednostkowa brutto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color w:val="DC2300"/>
          <w:sz w:val="20"/>
          <w:szCs w:val="20"/>
          <w:u w:val="none"/>
          <w:lang w:val="pl-PL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zaproszenia do złożenia oferty.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27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0"/>
      <w:szCs w:val="24"/>
      <w:lang w:val="pl-PL" w:eastAsia="zh-CN" w:bidi="hi-IN"/>
    </w:rPr>
  </w:style>
  <w:style w:type="paragraph" w:styleId="Stopka">
    <w:name w:val="Footer"/>
    <w:basedOn w:val="Normalny"/>
    <w:pPr>
      <w:tabs>
        <w:tab w:val="clear" w:pos="709"/>
        <w:tab w:val="center" w:pos="4536" w:leader="none"/>
        <w:tab w:val="right" w:pos="9072" w:leader="none"/>
      </w:tabs>
      <w:suppressAutoHyphens w:val="true"/>
    </w:pPr>
    <w:rPr>
      <w:rFonts w:cs="Mangal"/>
      <w:szCs w:val="21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LibreOffice/7.1.6.2$Windows_X86_64 LibreOffice_project/0e133318fcee89abacd6a7d077e292f1145735c3</Application>
  <AppVersion>15.0000</AppVersion>
  <Pages>3</Pages>
  <Words>550</Words>
  <Characters>5146</Characters>
  <CharactersWithSpaces>5788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2022-02-09T08:37:36Z</cp:lastPrinted>
  <dcterms:modified xsi:type="dcterms:W3CDTF">2022-02-09T08:46:40Z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