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61/NA/2021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         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przedmiot i zakres dokumentacji projektowej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Black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LibreOffice/6.3.6.2$Windows_X86_64 LibreOffice_project/2196df99b074d8a661f4036fca8fa0cbfa33a497</Application>
  <Pages>1</Pages>
  <Words>88</Words>
  <Characters>1108</Characters>
  <CharactersWithSpaces>1317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2021-06-21T11:41:33Z</cp:lastPrinted>
  <dcterms:modified xsi:type="dcterms:W3CDTF">2021-08-19T09:10:11Z</dcterms:modified>
  <cp:revision>20</cp:revision>
  <dc:subject/>
  <dc:title/>
</cp:coreProperties>
</file>