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35/NA/2021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Arial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przy                     ul. Podgórna 1/15, Ks. Skorupki 123/2, Piotra Skargi 14/3A w Bydgoszczy,  zarządzanych    przez „ADM” Sp. z o.o.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LibreOffice/6.3.6.2$Windows_X86_64 LibreOffice_project/2196df99b074d8a661f4036fca8fa0cbfa33a497</Application>
  <Pages>1</Pages>
  <Words>88</Words>
  <Characters>1061</Characters>
  <CharactersWithSpaces>1264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2021-06-04T13:16:44Z</dcterms:modified>
  <cp:revision>15</cp:revision>
  <dc:subject/>
  <dc:title/>
</cp:coreProperties>
</file>