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Dotyczy postępowania nr </w:t>
      </w:r>
      <w:r>
        <w:rPr>
          <w:rFonts w:cs="Tahoma" w:ascii="Tahoma" w:hAnsi="Tahoma"/>
          <w:b/>
          <w:bCs/>
          <w:sz w:val="20"/>
          <w:szCs w:val="20"/>
        </w:rPr>
        <w:t xml:space="preserve"> 31/NM/2021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proje0ktowych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postępowanie nr 31/NM/2021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-  oferujemy wykonanie zamówienia w zakresie i na warunkach określonych w zaproszeniu do złożenia oferty z dnia 01.06.2021r.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5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/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6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7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01.06.2021r.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z dnia 01.06.2021r.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LibreOffice/6.3.6.2$Windows_X86_64 LibreOffice_project/2196df99b074d8a661f4036fca8fa0cbfa33a497</Application>
  <Pages>3</Pages>
  <Words>510</Words>
  <Characters>6584</Characters>
  <CharactersWithSpaces>7238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2021-05-28T13:22:50Z</cp:lastPrinted>
  <dcterms:modified xsi:type="dcterms:W3CDTF">2021-05-31T14:38:45Z</dcterms:modified>
  <cp:revision>19</cp:revision>
  <dc:subject/>
  <dc:title/>
</cp:coreProperties>
</file>