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>12/NA/2021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ab/>
        <w:t>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6249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>Dostawa i wymiana piasku w piaskownicach zlokalizowanych na terenie                          miasta Bydgoszczy w nieruchomościach  zarządzanych przez Administrację                    Domów Miejskich  „ADM” Sp. z o.o.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 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jc w:val="center"/>
        <w:rPr>
          <w:rFonts w:ascii="Tahoma" w:hAnsi="Tahoma" w:cs="Tahoma"/>
          <w:b w:val="false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1.  Oferujemy wykonanie zamówienia w zakresie i na warunkach określonych w zaproszeniu do złożenia oferty z dnia 17.03.2021r. oraz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  <w:r>
        <w:rPr>
          <w:rFonts w:cs="Calibri" w:ascii="Calibri" w:hAnsi="Calibri"/>
          <w:b/>
          <w:sz w:val="24"/>
          <w:szCs w:val="24"/>
        </w:rPr>
        <w:t>2.  Kalkulacja ceny ofertowej: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Fonts w:cs="Tahoma" w:ascii="Tahoma" w:hAnsi="Tahoma"/>
          <w:sz w:val="21"/>
          <w:szCs w:val="21"/>
          <w:u w:val="single"/>
        </w:rPr>
        <w:t>Część A</w:t>
      </w:r>
      <w:r>
        <w:rPr>
          <w:rFonts w:cs="Tahoma" w:ascii="Tahoma" w:hAnsi="Tahoma"/>
          <w:sz w:val="18"/>
          <w:szCs w:val="18"/>
          <w:u w:val="single"/>
        </w:rPr>
        <w:t xml:space="preserve"> - Załadunek i wywóz starego piasku z piaskownic</w:t>
      </w:r>
      <w:r>
        <w:rPr>
          <w:rFonts w:cs="Tahoma" w:ascii="Tahoma" w:hAnsi="Tahoma"/>
          <w:sz w:val="20"/>
          <w:szCs w:val="18"/>
          <w:u w:val="single"/>
        </w:rPr>
        <w:t xml:space="preserve"> </w:t>
      </w:r>
    </w:p>
    <w:tbl>
      <w:tblPr>
        <w:tblW w:w="10170" w:type="dxa"/>
        <w:jc w:val="left"/>
        <w:tblInd w:w="-7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82"/>
        <w:gridCol w:w="2037"/>
        <w:gridCol w:w="1653"/>
        <w:gridCol w:w="2100"/>
        <w:gridCol w:w="2678"/>
      </w:tblGrid>
      <w:tr>
        <w:trPr>
          <w:trHeight w:val="1076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83" w:after="119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Załadunek i wywóz starego piasku </w:t>
            </w:r>
          </w:p>
          <w:p>
            <w:pPr>
              <w:pStyle w:val="Nagwek"/>
              <w:snapToGrid w:val="false"/>
              <w:spacing w:before="113" w:after="119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(szacowana roczna ilość piasku </w:t>
            </w:r>
            <w:r>
              <w:rPr>
                <w:rFonts w:eastAsia="Microsoft YaHei" w:cs="Tahoma" w:ascii="Tahoma" w:hAnsi="Tahoma"/>
                <w:b/>
                <w:bCs/>
                <w:color w:val="auto"/>
                <w:kern w:val="2"/>
                <w:sz w:val="18"/>
                <w:szCs w:val="18"/>
                <w:lang w:val="pl-PL" w:eastAsia="zh-CN" w:bidi="hi-IN"/>
              </w:rPr>
              <w:t>w tonach)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Krotność świadczenia usługi </w:t>
            </w:r>
          </w:p>
          <w:p>
            <w:pPr>
              <w:pStyle w:val="Podtytu"/>
              <w:snapToGrid w:val="false"/>
              <w:spacing w:before="0" w:after="6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(lata 2021-2022)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*Cena jednostkowa  BRUTTO</w:t>
            </w:r>
          </w:p>
          <w:p>
            <w:pPr>
              <w:pStyle w:val="Nagwek"/>
              <w:spacing w:before="240" w:after="120"/>
              <w:jc w:val="center"/>
              <w:rPr/>
            </w:pPr>
            <w:r>
              <w:rPr>
                <w:rFonts w:eastAsia="Tahoma" w:cs="Tahoma" w:ascii="Tahoma" w:hAnsi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zł brutto za 1 tonę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pacing w:before="240" w:after="120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Cena brutto pozycji</w:t>
            </w:r>
          </w:p>
          <w:p>
            <w:pPr>
              <w:pStyle w:val="Podtytu"/>
              <w:spacing w:before="0" w:after="60"/>
              <w:jc w:val="center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i/>
                <w:iCs/>
                <w:sz w:val="16"/>
                <w:szCs w:val="16"/>
              </w:rPr>
              <w:t>( kol.3  x  kol.4 x kol. 5 )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57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57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57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57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57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57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</w:tr>
      <w:tr>
        <w:trPr>
          <w:trHeight w:val="665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40" w:before="113" w:after="113"/>
              <w:jc w:val="center"/>
              <w:rPr>
                <w:rFonts w:ascii="Tahoma" w:hAnsi="Tahoma" w:cs="Tahoma"/>
                <w:b w:val="false"/>
                <w:b w:val="false"/>
                <w:sz w:val="21"/>
                <w:szCs w:val="21"/>
              </w:rPr>
            </w:pPr>
            <w:r>
              <w:rPr>
                <w:rFonts w:cs="Tahoma" w:ascii="Tahoma" w:hAnsi="Tahoma"/>
                <w:b w:val="false"/>
                <w:sz w:val="21"/>
                <w:szCs w:val="21"/>
              </w:rPr>
            </w:r>
          </w:p>
          <w:p>
            <w:pPr>
              <w:pStyle w:val="Nagwek"/>
              <w:spacing w:lineRule="auto" w:line="240" w:before="113" w:after="113"/>
              <w:jc w:val="center"/>
              <w:rPr/>
            </w:pPr>
            <w:r>
              <w:rPr>
                <w:rFonts w:cs="Tahoma" w:ascii="Tahoma" w:hAnsi="Tahoma"/>
                <w:b w:val="false"/>
                <w:sz w:val="21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40" w:before="113" w:after="113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</w:r>
          </w:p>
          <w:p>
            <w:pPr>
              <w:pStyle w:val="Nagwek"/>
              <w:spacing w:lineRule="auto" w:line="240" w:before="113" w:after="113"/>
              <w:jc w:val="center"/>
              <w:rPr/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ROM-1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40" w:before="113" w:after="113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</w:r>
          </w:p>
          <w:p>
            <w:pPr>
              <w:pStyle w:val="Nagwek"/>
              <w:spacing w:lineRule="auto" w:line="240" w:before="113" w:after="113"/>
              <w:jc w:val="center"/>
              <w:rPr/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9,00 ton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lineRule="auto" w:line="240" w:before="113" w:after="113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</w:r>
          </w:p>
          <w:p>
            <w:pPr>
              <w:pStyle w:val="Tretekstu"/>
              <w:snapToGrid w:val="false"/>
              <w:spacing w:lineRule="auto" w:line="240" w:before="113" w:after="113"/>
              <w:jc w:val="center"/>
              <w:rPr/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cs="Tahoma" w:ascii="Tahoma" w:hAnsi="Tahoma"/>
                <w:sz w:val="28"/>
                <w:szCs w:val="28"/>
              </w:rPr>
            </w:r>
          </w:p>
          <w:p>
            <w:pPr>
              <w:pStyle w:val="Tretekstu"/>
              <w:snapToGrid w:val="false"/>
              <w:spacing w:before="240" w:after="1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cs="Tahoma" w:ascii="Tahoma" w:hAnsi="Tahoma"/>
                <w:sz w:val="28"/>
                <w:szCs w:val="28"/>
              </w:rPr>
            </w:r>
          </w:p>
          <w:p>
            <w:pPr>
              <w:pStyle w:val="Nagwek"/>
              <w:spacing w:before="240" w:after="120"/>
              <w:rPr>
                <w:rFonts w:ascii="Calibri" w:hAnsi="Calibri"/>
              </w:rPr>
            </w:pPr>
            <w:r>
              <w:rPr>
                <w:rFonts w:eastAsia="Times New Roman" w:ascii="Calibri" w:hAnsi="Calibri"/>
                <w:b w:val="false"/>
                <w:sz w:val="20"/>
              </w:rPr>
              <w:t>…</w:t>
            </w:r>
            <w:r>
              <w:rPr>
                <w:rFonts w:eastAsia="Times New Roman" w:ascii="Calibri" w:hAnsi="Calibri"/>
                <w:b w:val="false"/>
                <w:sz w:val="20"/>
              </w:rPr>
              <w:t>.…..........…………...… zł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/>
            </w:pPr>
            <w:r>
              <w:rPr/>
            </w:r>
          </w:p>
          <w:p>
            <w:pPr>
              <w:pStyle w:val="Tretekstu"/>
              <w:snapToGrid w:val="false"/>
              <w:spacing w:before="240" w:after="120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40" w:before="113" w:after="113"/>
              <w:rPr/>
            </w:pPr>
            <w:r>
              <w:rPr>
                <w:rFonts w:cs="Tahoma" w:ascii="Tahoma" w:hAnsi="Tahoma"/>
                <w:b w:val="false"/>
                <w:sz w:val="18"/>
                <w:szCs w:val="18"/>
              </w:rPr>
              <w:t xml:space="preserve"> </w:t>
            </w:r>
          </w:p>
          <w:p>
            <w:pPr>
              <w:pStyle w:val="Nagwek"/>
              <w:spacing w:lineRule="auto" w:line="240" w:before="113" w:after="113"/>
              <w:rPr>
                <w:rFonts w:ascii="Tahoma" w:hAnsi="Tahoma" w:cs="Tahoma"/>
                <w:b w:val="false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40" w:before="113" w:after="113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agwek"/>
              <w:spacing w:lineRule="auto" w:line="240" w:before="113" w:after="113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ROM-4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lineRule="auto" w:line="240" w:before="113" w:after="113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agwek"/>
              <w:spacing w:lineRule="auto" w:line="240" w:before="113" w:after="113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18,50 ton</w:t>
            </w:r>
          </w:p>
          <w:p>
            <w:pPr>
              <w:pStyle w:val="Podtytu"/>
              <w:spacing w:lineRule="auto" w:line="240" w:before="113" w:after="113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snapToGrid w:val="false"/>
              <w:spacing w:lineRule="auto" w:line="240" w:before="113" w:after="113"/>
              <w:jc w:val="center"/>
              <w:rPr>
                <w:rFonts w:ascii="Tahoma" w:hAnsi="Tahoma" w:cs="Tahoma"/>
                <w:b/>
                <w:b/>
                <w:bCs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sz w:val="12"/>
                <w:szCs w:val="12"/>
              </w:rPr>
            </w:r>
          </w:p>
          <w:p>
            <w:pPr>
              <w:pStyle w:val="Tretekstu"/>
              <w:snapToGrid w:val="false"/>
              <w:spacing w:lineRule="auto" w:line="240" w:before="113" w:after="113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/>
            </w:pPr>
            <w:r>
              <w:rPr/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/>
            </w:pPr>
            <w:r>
              <w:rPr/>
            </w:r>
          </w:p>
        </w:tc>
      </w:tr>
      <w:tr>
        <w:trPr/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right"/>
              <w:rPr>
                <w:rFonts w:ascii="Tahoma" w:hAnsi="Tahoma" w:cs="Tahoma"/>
                <w:b w:val="false"/>
                <w:b w:val="false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Razem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cena brutto</w:t>
            </w:r>
            <w:r>
              <w:rPr>
                <w:rFonts w:cs="Tahoma" w:ascii="Tahoma" w:hAnsi="Tahoma"/>
                <w:b w:val="false"/>
                <w:bCs/>
                <w:sz w:val="18"/>
                <w:szCs w:val="18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część A</w:t>
            </w:r>
            <w:r>
              <w:rPr>
                <w:rFonts w:cs="Tahoma" w:ascii="Tahoma" w:hAnsi="Tahoma"/>
                <w:b w:val="false"/>
                <w:bCs/>
                <w:sz w:val="18"/>
                <w:szCs w:val="18"/>
              </w:rPr>
              <w:t>: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agwek"/>
        <w:spacing w:before="113" w:after="0"/>
        <w:jc w:val="both"/>
        <w:rPr/>
      </w:pPr>
      <w:r>
        <w:rPr>
          <w:rFonts w:cs="Tahoma" w:ascii="Tahoma" w:hAnsi="Tahoma"/>
          <w:sz w:val="18"/>
          <w:szCs w:val="18"/>
        </w:rPr>
        <w:t xml:space="preserve">* </w:t>
      </w:r>
      <w:r>
        <w:rPr>
          <w:rFonts w:cs="Tahoma" w:ascii="Tahoma" w:hAnsi="Tahoma"/>
          <w:b w:val="false"/>
          <w:sz w:val="18"/>
          <w:szCs w:val="18"/>
        </w:rPr>
        <w:t>Cena jednostkowa brutto za 1 tonę obejmuje:  załadunek starego (brudnego) piasku, jego transport (wywóz) oraz  zagospodarowanie przez Wykonawcę zgodnie z obowiązującymi w tym zakresie przepisami prawa, w tym również oczyszczenie piaskownicy przez nawiezieniem nowego piasku</w:t>
      </w:r>
    </w:p>
    <w:p>
      <w:pPr>
        <w:pStyle w:val="Nagwek"/>
        <w:jc w:val="left"/>
        <w:rPr/>
      </w:pPr>
      <w:r>
        <w:rPr>
          <w:rFonts w:cs="Tahoma" w:ascii="Tahoma" w:hAnsi="Tahoma"/>
          <w:sz w:val="21"/>
          <w:szCs w:val="21"/>
          <w:u w:val="single"/>
        </w:rPr>
        <w:t>Część B</w:t>
      </w:r>
      <w:r>
        <w:rPr>
          <w:rFonts w:cs="Tahoma" w:ascii="Tahoma" w:hAnsi="Tahoma"/>
          <w:sz w:val="18"/>
          <w:szCs w:val="18"/>
          <w:u w:val="single"/>
        </w:rPr>
        <w:t xml:space="preserve"> -  Dostawa nowego piasku i  jego rozładunek do piaskownic </w:t>
      </w:r>
    </w:p>
    <w:tbl>
      <w:tblPr>
        <w:tblW w:w="10170" w:type="dxa"/>
        <w:jc w:val="left"/>
        <w:tblInd w:w="-7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82"/>
        <w:gridCol w:w="2037"/>
        <w:gridCol w:w="1653"/>
        <w:gridCol w:w="2100"/>
        <w:gridCol w:w="2678"/>
      </w:tblGrid>
      <w:tr>
        <w:trPr>
          <w:trHeight w:val="1076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agwek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Dostawa nowego piasku i jego rozładunek</w:t>
            </w:r>
          </w:p>
          <w:p>
            <w:pPr>
              <w:pStyle w:val="Nagwek"/>
              <w:snapToGrid w:val="false"/>
              <w:spacing w:before="113" w:after="119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(szacowana roczna ilość piasku </w:t>
            </w:r>
            <w:r>
              <w:rPr>
                <w:rFonts w:eastAsia="Microsoft YaHei" w:cs="Tahoma" w:ascii="Tahoma" w:hAnsi="Tahoma"/>
                <w:b/>
                <w:bCs/>
                <w:color w:val="auto"/>
                <w:kern w:val="2"/>
                <w:sz w:val="18"/>
                <w:szCs w:val="18"/>
                <w:lang w:val="pl-PL" w:eastAsia="zh-CN" w:bidi="hi-IN"/>
              </w:rPr>
              <w:t>w tonach)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Krotność świadczenia usługi </w:t>
            </w:r>
          </w:p>
          <w:p>
            <w:pPr>
              <w:pStyle w:val="Podtytu"/>
              <w:snapToGrid w:val="false"/>
              <w:spacing w:before="0" w:after="60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(lata 2021-2022)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** Cena jednostkowa  BRUTTO</w:t>
            </w:r>
          </w:p>
          <w:p>
            <w:pPr>
              <w:pStyle w:val="Nagwek"/>
              <w:spacing w:before="240" w:after="120"/>
              <w:jc w:val="center"/>
              <w:rPr/>
            </w:pPr>
            <w:r>
              <w:rPr>
                <w:rFonts w:eastAsia="Tahoma" w:cs="Tahoma" w:ascii="Tahoma" w:hAnsi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zł brutto za 1 tonę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agwek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Cena brutto pozycji</w:t>
            </w:r>
          </w:p>
          <w:p>
            <w:pPr>
              <w:pStyle w:val="Podtytu"/>
              <w:spacing w:before="0" w:after="60"/>
              <w:jc w:val="center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i/>
                <w:iCs/>
                <w:sz w:val="16"/>
                <w:szCs w:val="16"/>
              </w:rPr>
              <w:t>( kol.3  x  kol.4 x  kol.5)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0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0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0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0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0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0" w:after="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>
                <w:rFonts w:ascii="Tahoma" w:hAnsi="Tahoma" w:cs="Tahoma"/>
                <w:b w:val="false"/>
                <w:b w:val="false"/>
                <w:sz w:val="12"/>
                <w:szCs w:val="12"/>
              </w:rPr>
            </w:pPr>
            <w:r>
              <w:rPr>
                <w:rFonts w:cs="Tahoma" w:ascii="Tahoma" w:hAnsi="Tahoma"/>
                <w:b w:val="false"/>
                <w:sz w:val="12"/>
                <w:szCs w:val="12"/>
              </w:rPr>
            </w:r>
          </w:p>
          <w:p>
            <w:pPr>
              <w:pStyle w:val="Nagwek"/>
              <w:spacing w:before="240" w:after="120"/>
              <w:rPr>
                <w:rFonts w:ascii="Tahoma" w:hAnsi="Tahoma" w:cs="Tahoma"/>
                <w:b w:val="false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sz w:val="12"/>
                <w:szCs w:val="12"/>
              </w:rPr>
            </w:r>
          </w:p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ROM-1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sz w:val="12"/>
                <w:szCs w:val="12"/>
              </w:rPr>
            </w:r>
          </w:p>
          <w:p>
            <w:pPr>
              <w:pStyle w:val="Nagwek"/>
              <w:spacing w:before="240" w:after="120"/>
              <w:jc w:val="center"/>
              <w:rPr/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15,50 ton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</w:r>
          </w:p>
          <w:p>
            <w:pPr>
              <w:pStyle w:val="Podtytu"/>
              <w:snapToGrid w:val="false"/>
              <w:spacing w:before="0" w:after="60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cs="Tahoma" w:ascii="Tahoma" w:hAnsi="Tahoma"/>
                <w:sz w:val="28"/>
                <w:szCs w:val="28"/>
              </w:rPr>
            </w:r>
          </w:p>
          <w:p>
            <w:pPr>
              <w:pStyle w:val="Nagwek"/>
              <w:rPr>
                <w:rFonts w:eastAsia="Times New Roman"/>
                <w:b w:val="false"/>
                <w:b w:val="false"/>
                <w:sz w:val="20"/>
              </w:rPr>
            </w:pPr>
            <w:r>
              <w:rPr>
                <w:rFonts w:eastAsia="Times New Roman"/>
                <w:b w:val="false"/>
                <w:sz w:val="20"/>
              </w:rPr>
            </w:r>
          </w:p>
          <w:p>
            <w:pPr>
              <w:pStyle w:val="Nagwek"/>
              <w:spacing w:before="240" w:after="120"/>
              <w:rPr/>
            </w:pPr>
            <w:r>
              <w:rPr>
                <w:rFonts w:eastAsia="Times New Roman"/>
                <w:b w:val="false"/>
                <w:sz w:val="20"/>
              </w:rPr>
              <w:t>…</w:t>
            </w:r>
            <w:r>
              <w:rPr>
                <w:rFonts w:eastAsia="Times New Roman"/>
                <w:b w:val="false"/>
                <w:sz w:val="20"/>
              </w:rPr>
              <w:t>...........………...</w:t>
            </w:r>
            <w:r>
              <w:rPr>
                <w:b w:val="false"/>
                <w:sz w:val="20"/>
              </w:rPr>
              <w:t>zł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before="240" w:after="120"/>
              <w:rPr>
                <w:rFonts w:ascii="Tahoma" w:hAnsi="Tahoma" w:cs="Tahoma"/>
                <w:b w:val="false"/>
                <w:b w:val="false"/>
                <w:sz w:val="12"/>
                <w:szCs w:val="12"/>
              </w:rPr>
            </w:pPr>
            <w:r>
              <w:rPr>
                <w:rFonts w:cs="Tahoma" w:ascii="Tahoma" w:hAnsi="Tahoma"/>
                <w:b w:val="false"/>
                <w:sz w:val="12"/>
                <w:szCs w:val="12"/>
              </w:rPr>
            </w:r>
          </w:p>
          <w:p>
            <w:pPr>
              <w:pStyle w:val="Nagwek"/>
              <w:spacing w:before="240" w:after="120"/>
              <w:rPr>
                <w:rFonts w:ascii="Tahoma" w:hAnsi="Tahoma" w:cs="Tahoma"/>
                <w:b w:val="false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sz w:val="12"/>
                <w:szCs w:val="12"/>
              </w:rPr>
            </w:r>
          </w:p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ROM-4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pacing w:before="240" w:after="120"/>
              <w:jc w:val="center"/>
              <w:rPr>
                <w:rFonts w:ascii="Tahoma" w:hAnsi="Tahoma" w:cs="Tahoma"/>
                <w:b/>
                <w:b/>
                <w:bCs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sz w:val="12"/>
                <w:szCs w:val="12"/>
              </w:rPr>
            </w:r>
          </w:p>
          <w:p>
            <w:pPr>
              <w:pStyle w:val="Nagwek"/>
              <w:spacing w:before="240" w:after="120"/>
              <w:jc w:val="center"/>
              <w:rPr/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35,50 ton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odtytu"/>
              <w:snapToGrid w:val="false"/>
              <w:spacing w:before="0" w:after="60"/>
              <w:jc w:val="center"/>
              <w:rPr>
                <w:rFonts w:ascii="Tahoma" w:hAnsi="Tahoma" w:cs="Tahoma"/>
                <w:b/>
                <w:b/>
                <w:bCs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sz w:val="12"/>
                <w:szCs w:val="12"/>
              </w:rPr>
            </w:r>
          </w:p>
          <w:p>
            <w:pPr>
              <w:pStyle w:val="Podtytu"/>
              <w:snapToGrid w:val="false"/>
              <w:spacing w:before="0" w:after="60"/>
              <w:jc w:val="center"/>
              <w:rPr>
                <w:rFonts w:ascii="Tahoma" w:hAnsi="Tahoma" w:cs="Tahoma"/>
                <w:b/>
                <w:b/>
                <w:bCs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sz w:val="12"/>
                <w:szCs w:val="12"/>
              </w:rPr>
            </w:r>
          </w:p>
          <w:p>
            <w:pPr>
              <w:pStyle w:val="Podtytu"/>
              <w:snapToGrid w:val="false"/>
              <w:spacing w:before="0" w:after="60"/>
              <w:jc w:val="center"/>
              <w:rPr>
                <w:rFonts w:ascii="Tahoma" w:hAnsi="Tahoma" w:cs="Tahoma"/>
                <w:b/>
                <w:b/>
                <w:bCs/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/>
            </w:pPr>
            <w:r>
              <w:rPr/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/>
            </w:pPr>
            <w:r>
              <w:rPr/>
            </w:r>
          </w:p>
        </w:tc>
      </w:tr>
      <w:tr>
        <w:trPr/>
        <w:tc>
          <w:tcPr>
            <w:tcW w:w="74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jc w:val="right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Razem cena brutto  część B:</w:t>
            </w:r>
            <w:r>
              <w:rPr>
                <w:rFonts w:eastAsia="Tahoma" w:cs="Tahoma" w:ascii="Tahoma" w:hAnsi="Tahoma"/>
                <w:b w:val="false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"/>
              <w:snapToGrid w:val="false"/>
              <w:spacing w:before="240" w:after="120"/>
              <w:rPr/>
            </w:pPr>
            <w:r>
              <w:rPr/>
            </w:r>
          </w:p>
        </w:tc>
      </w:tr>
    </w:tbl>
    <w:p>
      <w:pPr>
        <w:pStyle w:val="Nagwek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13" w:after="0"/>
        <w:ind w:left="0" w:right="0" w:hanging="0"/>
        <w:jc w:val="both"/>
        <w:rPr/>
      </w:pPr>
      <w:r>
        <w:rPr>
          <w:rStyle w:val="Mocnewyrnione"/>
          <w:rFonts w:cs="Tahoma" w:ascii="Tahoma" w:hAnsi="Tahoma"/>
          <w:b/>
          <w:bCs/>
          <w:sz w:val="18"/>
          <w:szCs w:val="18"/>
          <w:u w:val="none"/>
          <w:lang w:val="pl-PL"/>
        </w:rPr>
        <w:t xml:space="preserve">** </w:t>
      </w:r>
      <w:r>
        <w:rPr>
          <w:rStyle w:val="Mocnewyrnione"/>
          <w:rFonts w:cs="Tahoma" w:ascii="Tahoma" w:hAnsi="Tahoma"/>
          <w:b w:val="false"/>
          <w:bCs/>
          <w:sz w:val="18"/>
          <w:szCs w:val="18"/>
          <w:u w:val="none"/>
          <w:lang w:val="pl-PL"/>
        </w:rPr>
        <w:t xml:space="preserve">Cena jednostkowa brutto za 1 tonę obejmuje:  </w:t>
      </w:r>
      <w:r>
        <w:rPr>
          <w:rStyle w:val="Mocnewyrnione"/>
          <w:rFonts w:eastAsia="Microsoft YaHei" w:cs="Tahoma" w:ascii="Tahoma" w:hAnsi="Tahoma"/>
          <w:b w:val="false"/>
          <w:bCs/>
          <w:color w:val="auto"/>
          <w:kern w:val="2"/>
          <w:sz w:val="18"/>
          <w:szCs w:val="18"/>
          <w:u w:val="none"/>
          <w:lang w:val="pl-PL" w:eastAsia="zh-CN" w:bidi="hi-IN"/>
        </w:rPr>
        <w:t>dostawę nowego (czystego) piasku, jego transport i rozładunek do piaskownicy, uporządkowanie terenu po wykonanych pracach.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3.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17.03.2021r.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>4. Oświadczam, że spełniam warunki udziału w postępowaniu w zakresie wskazanym przez Zamawiającego w zaproszeniu do złożenia oferty oraz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5.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6.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7.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8.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9.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Podtytu">
    <w:name w:val="Subtitle"/>
    <w:basedOn w:val="Normal"/>
    <w:next w:val="Tretekstu"/>
    <w:qFormat/>
    <w:pPr>
      <w:spacing w:before="0" w:after="60"/>
      <w:jc w:val="center"/>
    </w:pPr>
    <w:rPr>
      <w:rFonts w:ascii="Arial" w:hAnsi="Arial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LibreOffice/6.3.6.2$Windows_X86_64 LibreOffice_project/2196df99b074d8a661f4036fca8fa0cbfa33a497</Application>
  <Pages>3</Pages>
  <Words>594</Words>
  <Characters>5456</Characters>
  <CharactersWithSpaces>6205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dcterms:modified xsi:type="dcterms:W3CDTF">2021-03-17T10:33:39Z</dcterms:modified>
  <cp:revision>22</cp:revision>
  <dc:subject/>
  <dc:title/>
</cp:coreProperties>
</file>